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ook w:val="04A0" w:firstRow="1" w:lastRow="0" w:firstColumn="1" w:lastColumn="0" w:noHBand="0" w:noVBand="1"/>
      </w:tblPr>
      <w:tblGrid>
        <w:gridCol w:w="8892"/>
      </w:tblGrid>
      <w:tr w:rsidR="00655B5E" w:rsidRPr="009C17BC" w14:paraId="1BD3E116" w14:textId="77777777" w:rsidTr="00CE0965">
        <w:tc>
          <w:tcPr>
            <w:tcW w:w="5000" w:type="pct"/>
            <w:shd w:val="clear" w:color="auto" w:fill="C00000"/>
          </w:tcPr>
          <w:p w14:paraId="41CACAD3" w14:textId="63F0AB95" w:rsidR="00655B5E" w:rsidRPr="009C17BC" w:rsidRDefault="00655B5E" w:rsidP="003336E1">
            <w:pPr>
              <w:jc w:val="center"/>
              <w:rPr>
                <w:rFonts w:cstheme="minorHAnsi"/>
                <w:b/>
              </w:rPr>
            </w:pPr>
            <w:r w:rsidRPr="009C17BC">
              <w:rPr>
                <w:rFonts w:cstheme="minorHAnsi"/>
                <w:b/>
              </w:rPr>
              <w:t>Politika</w:t>
            </w:r>
          </w:p>
        </w:tc>
      </w:tr>
      <w:tr w:rsidR="00655B5E" w:rsidRPr="009C17BC" w14:paraId="79B0862E" w14:textId="77777777" w:rsidTr="00CE0965">
        <w:tc>
          <w:tcPr>
            <w:tcW w:w="5000" w:type="pct"/>
            <w:shd w:val="clear" w:color="auto" w:fill="auto"/>
          </w:tcPr>
          <w:p w14:paraId="2A6EDA11" w14:textId="77777777" w:rsidR="00655B5E" w:rsidRPr="009C17BC" w:rsidRDefault="00655B5E" w:rsidP="003336E1">
            <w:pPr>
              <w:jc w:val="center"/>
              <w:rPr>
                <w:rFonts w:cstheme="minorHAnsi"/>
                <w:b/>
              </w:rPr>
            </w:pPr>
            <w:r w:rsidRPr="009C17BC">
              <w:rPr>
                <w:rFonts w:cstheme="minorHAnsi"/>
                <w:b/>
              </w:rPr>
              <w:t>Duna Takarék Bank Zrt. Javadalmazási politika</w:t>
            </w:r>
          </w:p>
        </w:tc>
      </w:tr>
    </w:tbl>
    <w:p w14:paraId="041881E9" w14:textId="77777777" w:rsidR="00655B5E" w:rsidRPr="009C17BC" w:rsidRDefault="00655B5E" w:rsidP="003336E1">
      <w:pPr>
        <w:jc w:val="both"/>
        <w:rPr>
          <w:rFonts w:cstheme="minorHAnsi"/>
        </w:rPr>
      </w:pP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5294"/>
      </w:tblGrid>
      <w:tr w:rsidR="00655B5E" w:rsidRPr="009C17BC" w14:paraId="3FA1CC25" w14:textId="77777777" w:rsidTr="00CE0965">
        <w:tc>
          <w:tcPr>
            <w:tcW w:w="2023" w:type="pct"/>
            <w:shd w:val="clear" w:color="auto" w:fill="BFBFBF" w:themeFill="background1" w:themeFillShade="BF"/>
          </w:tcPr>
          <w:p w14:paraId="3B3C6A0A" w14:textId="77777777" w:rsidR="00655B5E" w:rsidRPr="009C17BC" w:rsidRDefault="00655B5E" w:rsidP="003336E1">
            <w:pPr>
              <w:jc w:val="both"/>
              <w:rPr>
                <w:rFonts w:cstheme="minorHAnsi"/>
                <w:b/>
              </w:rPr>
            </w:pPr>
            <w:r w:rsidRPr="009C17BC">
              <w:rPr>
                <w:rFonts w:cstheme="minorHAnsi"/>
                <w:b/>
              </w:rPr>
              <w:t>Szabályzat száma</w:t>
            </w:r>
          </w:p>
        </w:tc>
        <w:tc>
          <w:tcPr>
            <w:tcW w:w="2977" w:type="pct"/>
          </w:tcPr>
          <w:p w14:paraId="17BCC36C" w14:textId="2288FDF1" w:rsidR="00655B5E" w:rsidRPr="009C17BC" w:rsidRDefault="00D309FB" w:rsidP="003336E1">
            <w:pPr>
              <w:jc w:val="both"/>
              <w:rPr>
                <w:rFonts w:cstheme="minorHAnsi"/>
              </w:rPr>
            </w:pPr>
            <w:r w:rsidRPr="009C17BC">
              <w:rPr>
                <w:rFonts w:cstheme="minorHAnsi"/>
                <w:color w:val="000000"/>
                <w:lang w:eastAsia="hu-HU"/>
              </w:rPr>
              <w:t>129/2023/FB</w:t>
            </w:r>
          </w:p>
        </w:tc>
      </w:tr>
      <w:tr w:rsidR="00655B5E" w:rsidRPr="009C17BC" w14:paraId="31C31E09" w14:textId="77777777" w:rsidTr="00CE0965">
        <w:tc>
          <w:tcPr>
            <w:tcW w:w="2023" w:type="pct"/>
            <w:shd w:val="clear" w:color="auto" w:fill="BFBFBF" w:themeFill="background1" w:themeFillShade="BF"/>
          </w:tcPr>
          <w:p w14:paraId="3D216CFA" w14:textId="77777777" w:rsidR="00655B5E" w:rsidRPr="009C17BC" w:rsidRDefault="00655B5E" w:rsidP="003336E1">
            <w:pPr>
              <w:jc w:val="both"/>
              <w:rPr>
                <w:rFonts w:cstheme="minorHAnsi"/>
                <w:b/>
              </w:rPr>
            </w:pPr>
            <w:r w:rsidRPr="009C17BC">
              <w:rPr>
                <w:rFonts w:cstheme="minorHAnsi"/>
                <w:b/>
              </w:rPr>
              <w:t>Verziószám</w:t>
            </w:r>
          </w:p>
        </w:tc>
        <w:tc>
          <w:tcPr>
            <w:tcW w:w="2977" w:type="pct"/>
          </w:tcPr>
          <w:p w14:paraId="465E7BE0" w14:textId="7E6800B4" w:rsidR="00655B5E" w:rsidRPr="009C17BC" w:rsidRDefault="00D309FB" w:rsidP="003336E1">
            <w:pPr>
              <w:jc w:val="both"/>
              <w:rPr>
                <w:rFonts w:cstheme="minorHAnsi"/>
              </w:rPr>
            </w:pPr>
            <w:r w:rsidRPr="009C17BC">
              <w:rPr>
                <w:rFonts w:cstheme="minorHAnsi"/>
              </w:rPr>
              <w:t>V0</w:t>
            </w:r>
          </w:p>
        </w:tc>
      </w:tr>
      <w:tr w:rsidR="00655B5E" w:rsidRPr="009C17BC" w14:paraId="6AFCF226" w14:textId="77777777" w:rsidTr="00CE0965">
        <w:tc>
          <w:tcPr>
            <w:tcW w:w="2023" w:type="pct"/>
            <w:shd w:val="clear" w:color="auto" w:fill="BFBFBF" w:themeFill="background1" w:themeFillShade="BF"/>
          </w:tcPr>
          <w:p w14:paraId="25641B0F" w14:textId="77777777" w:rsidR="00655B5E" w:rsidRPr="009C17BC" w:rsidRDefault="00655B5E" w:rsidP="003336E1">
            <w:pPr>
              <w:jc w:val="both"/>
              <w:rPr>
                <w:rFonts w:cstheme="minorHAnsi"/>
                <w:b/>
              </w:rPr>
            </w:pPr>
            <w:r w:rsidRPr="009C17BC">
              <w:rPr>
                <w:rFonts w:cstheme="minorHAnsi"/>
                <w:b/>
              </w:rPr>
              <w:t>Hatálybalépés dátuma</w:t>
            </w:r>
          </w:p>
        </w:tc>
        <w:tc>
          <w:tcPr>
            <w:tcW w:w="2977" w:type="pct"/>
          </w:tcPr>
          <w:p w14:paraId="1C93BE6C" w14:textId="1000B217" w:rsidR="00655B5E" w:rsidRPr="009C17BC" w:rsidRDefault="00F27206" w:rsidP="003336E1">
            <w:pPr>
              <w:spacing w:after="0" w:line="240" w:lineRule="auto"/>
              <w:jc w:val="both"/>
              <w:rPr>
                <w:rFonts w:cstheme="minorHAnsi"/>
              </w:rPr>
            </w:pPr>
            <w:r w:rsidRPr="009C17BC">
              <w:rPr>
                <w:rFonts w:cstheme="minorHAnsi"/>
              </w:rPr>
              <w:t>2023.1</w:t>
            </w:r>
            <w:r w:rsidR="00D309FB" w:rsidRPr="009C17BC">
              <w:rPr>
                <w:rFonts w:cstheme="minorHAnsi"/>
              </w:rPr>
              <w:t>0.13.</w:t>
            </w:r>
          </w:p>
        </w:tc>
      </w:tr>
      <w:tr w:rsidR="00655B5E" w:rsidRPr="009C17BC" w14:paraId="787D70B3" w14:textId="77777777" w:rsidTr="00CE0965">
        <w:tc>
          <w:tcPr>
            <w:tcW w:w="2023" w:type="pct"/>
            <w:shd w:val="clear" w:color="auto" w:fill="BFBFBF" w:themeFill="background1" w:themeFillShade="BF"/>
          </w:tcPr>
          <w:p w14:paraId="04E28F7F" w14:textId="77777777" w:rsidR="00655B5E" w:rsidRPr="009C17BC" w:rsidRDefault="00655B5E" w:rsidP="003336E1">
            <w:pPr>
              <w:jc w:val="both"/>
              <w:rPr>
                <w:rFonts w:cstheme="minorHAnsi"/>
                <w:b/>
              </w:rPr>
            </w:pPr>
            <w:r w:rsidRPr="009C17BC">
              <w:rPr>
                <w:rFonts w:cstheme="minorHAnsi"/>
                <w:b/>
              </w:rPr>
              <w:t>Előző módosítás hatálybalépésének dátuma</w:t>
            </w:r>
          </w:p>
        </w:tc>
        <w:tc>
          <w:tcPr>
            <w:tcW w:w="2977" w:type="pct"/>
          </w:tcPr>
          <w:p w14:paraId="02A7C000" w14:textId="77777777" w:rsidR="00655B5E" w:rsidRPr="009C17BC" w:rsidRDefault="00655B5E" w:rsidP="003336E1">
            <w:pPr>
              <w:jc w:val="both"/>
              <w:rPr>
                <w:rFonts w:cstheme="minorHAnsi"/>
              </w:rPr>
            </w:pPr>
            <w:r w:rsidRPr="009C17BC">
              <w:rPr>
                <w:rFonts w:cstheme="minorHAnsi"/>
              </w:rPr>
              <w:t>2022.08.10.</w:t>
            </w:r>
          </w:p>
        </w:tc>
      </w:tr>
      <w:tr w:rsidR="00655B5E" w:rsidRPr="009C17BC" w14:paraId="21D0ADDB" w14:textId="77777777" w:rsidTr="00CE0965">
        <w:tc>
          <w:tcPr>
            <w:tcW w:w="2023" w:type="pct"/>
            <w:shd w:val="clear" w:color="auto" w:fill="BFBFBF" w:themeFill="background1" w:themeFillShade="BF"/>
          </w:tcPr>
          <w:p w14:paraId="7F5985C7" w14:textId="77777777" w:rsidR="00655B5E" w:rsidRPr="009C17BC" w:rsidRDefault="00655B5E" w:rsidP="003336E1">
            <w:pPr>
              <w:jc w:val="both"/>
              <w:rPr>
                <w:rFonts w:cstheme="minorHAnsi"/>
                <w:b/>
              </w:rPr>
            </w:pPr>
            <w:r w:rsidRPr="009C17BC">
              <w:rPr>
                <w:rFonts w:cstheme="minorHAnsi"/>
                <w:b/>
              </w:rPr>
              <w:t>Érvényesség</w:t>
            </w:r>
          </w:p>
        </w:tc>
        <w:tc>
          <w:tcPr>
            <w:tcW w:w="2977" w:type="pct"/>
          </w:tcPr>
          <w:p w14:paraId="286E12B7" w14:textId="57D70228" w:rsidR="00FE5527" w:rsidRPr="009C17BC" w:rsidRDefault="00655B5E" w:rsidP="003336E1">
            <w:pPr>
              <w:jc w:val="both"/>
              <w:rPr>
                <w:rFonts w:cstheme="minorHAnsi"/>
              </w:rPr>
            </w:pPr>
            <w:r w:rsidRPr="009C17BC">
              <w:rPr>
                <w:rFonts w:cstheme="minorHAnsi"/>
              </w:rPr>
              <w:t xml:space="preserve">Határozatlan idejű </w:t>
            </w:r>
            <w:r w:rsidRPr="00FE5527">
              <w:rPr>
                <w:rFonts w:cstheme="minorHAnsi"/>
              </w:rPr>
              <w:t>– visszavonásig</w:t>
            </w:r>
          </w:p>
        </w:tc>
      </w:tr>
      <w:tr w:rsidR="00655B5E" w:rsidRPr="009C17BC" w14:paraId="40773FEE" w14:textId="77777777" w:rsidTr="00CE0965">
        <w:tc>
          <w:tcPr>
            <w:tcW w:w="202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AA66F3" w14:textId="77777777" w:rsidR="00655B5E" w:rsidRPr="009C17BC" w:rsidRDefault="00655B5E" w:rsidP="003336E1">
            <w:pPr>
              <w:jc w:val="both"/>
              <w:rPr>
                <w:rFonts w:cstheme="minorHAnsi"/>
                <w:b/>
              </w:rPr>
            </w:pPr>
            <w:r w:rsidRPr="009C17BC">
              <w:rPr>
                <w:rFonts w:cstheme="minorHAnsi"/>
                <w:b/>
              </w:rPr>
              <w:t>Következő felülvizsgálat határideje</w:t>
            </w:r>
          </w:p>
        </w:tc>
        <w:tc>
          <w:tcPr>
            <w:tcW w:w="2977" w:type="pct"/>
            <w:tcBorders>
              <w:top w:val="single" w:sz="4" w:space="0" w:color="auto"/>
              <w:left w:val="single" w:sz="4" w:space="0" w:color="auto"/>
              <w:bottom w:val="single" w:sz="4" w:space="0" w:color="auto"/>
              <w:right w:val="single" w:sz="4" w:space="0" w:color="auto"/>
            </w:tcBorders>
          </w:tcPr>
          <w:p w14:paraId="6D3C618D" w14:textId="7D4CCA28" w:rsidR="00655B5E" w:rsidRPr="009C17BC" w:rsidRDefault="00F27206" w:rsidP="003336E1">
            <w:pPr>
              <w:jc w:val="both"/>
              <w:rPr>
                <w:rFonts w:cstheme="minorHAnsi"/>
              </w:rPr>
            </w:pPr>
            <w:r w:rsidRPr="009C17BC">
              <w:rPr>
                <w:rFonts w:cstheme="minorHAnsi"/>
              </w:rPr>
              <w:t>2024.</w:t>
            </w:r>
            <w:r w:rsidR="00DB6198">
              <w:rPr>
                <w:rFonts w:cstheme="minorHAnsi"/>
              </w:rPr>
              <w:t>10.12.</w:t>
            </w:r>
          </w:p>
        </w:tc>
      </w:tr>
      <w:tr w:rsidR="00655B5E" w:rsidRPr="009C17BC" w14:paraId="0BCAB935" w14:textId="77777777" w:rsidTr="00CE0965">
        <w:trPr>
          <w:trHeight w:val="300"/>
        </w:trPr>
        <w:tc>
          <w:tcPr>
            <w:tcW w:w="202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DC61E8" w14:textId="77777777" w:rsidR="00655B5E" w:rsidRPr="009C17BC" w:rsidRDefault="00655B5E" w:rsidP="003336E1">
            <w:pPr>
              <w:jc w:val="both"/>
              <w:rPr>
                <w:rFonts w:cstheme="minorHAnsi"/>
                <w:b/>
              </w:rPr>
            </w:pPr>
            <w:r w:rsidRPr="009C17BC">
              <w:rPr>
                <w:rFonts w:cstheme="minorHAnsi"/>
                <w:b/>
              </w:rPr>
              <w:t>MNB adatszolgáltatással érintett?</w:t>
            </w:r>
          </w:p>
        </w:tc>
        <w:tc>
          <w:tcPr>
            <w:tcW w:w="2977" w:type="pct"/>
            <w:tcBorders>
              <w:top w:val="single" w:sz="4" w:space="0" w:color="auto"/>
              <w:left w:val="single" w:sz="4" w:space="0" w:color="auto"/>
              <w:bottom w:val="single" w:sz="4" w:space="0" w:color="auto"/>
              <w:right w:val="single" w:sz="4" w:space="0" w:color="auto"/>
            </w:tcBorders>
          </w:tcPr>
          <w:p w14:paraId="56A4CFF4" w14:textId="77777777" w:rsidR="00655B5E" w:rsidRPr="009C17BC" w:rsidRDefault="00655B5E" w:rsidP="003336E1">
            <w:pPr>
              <w:jc w:val="both"/>
              <w:rPr>
                <w:rFonts w:cstheme="minorHAnsi"/>
              </w:rPr>
            </w:pPr>
            <w:r w:rsidRPr="009C17BC">
              <w:rPr>
                <w:rFonts w:cstheme="minorHAnsi"/>
              </w:rPr>
              <w:t>nem</w:t>
            </w:r>
          </w:p>
        </w:tc>
      </w:tr>
      <w:tr w:rsidR="00655B5E" w:rsidRPr="009C17BC" w14:paraId="7765D240" w14:textId="77777777" w:rsidTr="00CE0965">
        <w:trPr>
          <w:trHeight w:val="300"/>
        </w:trPr>
        <w:tc>
          <w:tcPr>
            <w:tcW w:w="202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2FD980" w14:textId="77777777" w:rsidR="00655B5E" w:rsidRPr="009C17BC" w:rsidRDefault="00655B5E" w:rsidP="003336E1">
            <w:pPr>
              <w:jc w:val="both"/>
              <w:rPr>
                <w:rFonts w:cstheme="minorHAnsi"/>
                <w:b/>
              </w:rPr>
            </w:pPr>
            <w:r w:rsidRPr="009C17BC">
              <w:rPr>
                <w:rFonts w:cstheme="minorHAnsi"/>
                <w:b/>
              </w:rPr>
              <w:t xml:space="preserve">Hozzáférés a szabályzatra vonatkozóan </w:t>
            </w:r>
          </w:p>
          <w:p w14:paraId="75B80CFE" w14:textId="77777777" w:rsidR="00655B5E" w:rsidRPr="009C17BC" w:rsidRDefault="00655B5E" w:rsidP="003336E1">
            <w:pPr>
              <w:jc w:val="both"/>
              <w:rPr>
                <w:rFonts w:cstheme="minorHAnsi"/>
                <w:b/>
              </w:rPr>
            </w:pPr>
            <w:r w:rsidRPr="009C17BC">
              <w:rPr>
                <w:rFonts w:cstheme="minorHAnsi"/>
                <w:b/>
              </w:rPr>
              <w:t>(x-szel jelölendő)</w:t>
            </w:r>
          </w:p>
        </w:tc>
        <w:tc>
          <w:tcPr>
            <w:tcW w:w="2977" w:type="pct"/>
            <w:tcBorders>
              <w:top w:val="single" w:sz="4" w:space="0" w:color="auto"/>
              <w:left w:val="single" w:sz="4" w:space="0" w:color="auto"/>
              <w:bottom w:val="single" w:sz="4" w:space="0" w:color="auto"/>
              <w:right w:val="single" w:sz="4" w:space="0" w:color="auto"/>
            </w:tcBorders>
          </w:tcPr>
          <w:p w14:paraId="30D7521A" w14:textId="77777777" w:rsidR="00655B5E" w:rsidRPr="009C17BC" w:rsidRDefault="00655B5E" w:rsidP="003336E1">
            <w:pPr>
              <w:pStyle w:val="TL"/>
              <w:jc w:val="both"/>
              <w:rPr>
                <w:rFonts w:cstheme="minorHAnsi"/>
                <w:sz w:val="22"/>
                <w:szCs w:val="22"/>
                <w:lang w:eastAsia="en-US"/>
              </w:rPr>
            </w:pPr>
            <w:r w:rsidRPr="009C17BC">
              <w:rPr>
                <w:rFonts w:cstheme="minorHAnsi"/>
                <w:sz w:val="22"/>
                <w:szCs w:val="22"/>
              </w:rPr>
              <w:t>[Az alábbiak közül egyet kötelező választani.]</w:t>
            </w:r>
          </w:p>
          <w:p w14:paraId="4F758397" w14:textId="77777777" w:rsidR="00655B5E" w:rsidRPr="009C17BC" w:rsidRDefault="00655B5E" w:rsidP="003336E1">
            <w:pPr>
              <w:pStyle w:val="TL"/>
              <w:jc w:val="both"/>
              <w:rPr>
                <w:rFonts w:cstheme="minorHAnsi"/>
                <w:sz w:val="22"/>
                <w:szCs w:val="22"/>
              </w:rPr>
            </w:pPr>
            <w:r w:rsidRPr="009C17BC">
              <w:rPr>
                <w:rFonts w:cstheme="minorHAnsi"/>
                <w:sz w:val="22"/>
                <w:szCs w:val="22"/>
              </w:rPr>
              <w:t>x Belső használatra</w:t>
            </w:r>
          </w:p>
          <w:p w14:paraId="6A461105" w14:textId="77777777" w:rsidR="00655B5E" w:rsidRPr="009C17BC" w:rsidRDefault="00655B5E" w:rsidP="003336E1">
            <w:pPr>
              <w:pStyle w:val="TL"/>
              <w:jc w:val="both"/>
              <w:rPr>
                <w:rFonts w:cstheme="minorHAnsi"/>
                <w:sz w:val="22"/>
                <w:szCs w:val="22"/>
                <w:lang w:eastAsia="en-US"/>
              </w:rPr>
            </w:pPr>
            <w:r w:rsidRPr="009C17BC">
              <w:rPr>
                <w:rFonts w:cstheme="minorHAnsi"/>
                <w:sz w:val="22"/>
                <w:szCs w:val="22"/>
              </w:rPr>
              <w:t>󠆉 Korlátozott (megadandó, hogy mely banki terület(</w:t>
            </w:r>
            <w:proofErr w:type="spellStart"/>
            <w:r w:rsidRPr="009C17BC">
              <w:rPr>
                <w:rFonts w:cstheme="minorHAnsi"/>
                <w:sz w:val="22"/>
                <w:szCs w:val="22"/>
              </w:rPr>
              <w:t>ek</w:t>
            </w:r>
            <w:proofErr w:type="spellEnd"/>
            <w:r w:rsidRPr="009C17BC">
              <w:rPr>
                <w:rFonts w:cstheme="minorHAnsi"/>
                <w:sz w:val="22"/>
                <w:szCs w:val="22"/>
              </w:rPr>
              <w:t>) részére)</w:t>
            </w:r>
          </w:p>
          <w:p w14:paraId="1D07CC81" w14:textId="77777777" w:rsidR="00655B5E" w:rsidRPr="009C17BC" w:rsidRDefault="00655B5E" w:rsidP="003336E1">
            <w:pPr>
              <w:pStyle w:val="TL"/>
              <w:jc w:val="both"/>
              <w:rPr>
                <w:rFonts w:cstheme="minorHAnsi"/>
                <w:sz w:val="22"/>
                <w:szCs w:val="22"/>
              </w:rPr>
            </w:pPr>
            <w:r w:rsidRPr="009C17BC">
              <w:rPr>
                <w:rFonts w:cstheme="minorHAnsi"/>
                <w:sz w:val="22"/>
                <w:szCs w:val="22"/>
              </w:rPr>
              <w:t>󠆉 Nyilvános - közvetítőnek/ügynöknek</w:t>
            </w:r>
          </w:p>
          <w:p w14:paraId="4F3D229D" w14:textId="77777777" w:rsidR="00655B5E" w:rsidRPr="009C17BC" w:rsidRDefault="00655B5E" w:rsidP="003336E1">
            <w:pPr>
              <w:pStyle w:val="TL"/>
              <w:jc w:val="both"/>
              <w:rPr>
                <w:rFonts w:cstheme="minorHAnsi"/>
                <w:sz w:val="22"/>
                <w:szCs w:val="22"/>
              </w:rPr>
            </w:pPr>
            <w:r w:rsidRPr="009C17BC">
              <w:rPr>
                <w:rFonts w:cstheme="minorHAnsi"/>
                <w:sz w:val="22"/>
                <w:szCs w:val="22"/>
              </w:rPr>
              <w:t>x Nyilvános - interneten (portálon) megjelenítendő</w:t>
            </w:r>
          </w:p>
        </w:tc>
      </w:tr>
      <w:tr w:rsidR="00655B5E" w:rsidRPr="009C17BC" w14:paraId="45254E7B" w14:textId="77777777" w:rsidTr="00CE0965">
        <w:trPr>
          <w:trHeight w:val="300"/>
        </w:trPr>
        <w:tc>
          <w:tcPr>
            <w:tcW w:w="202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3FCCB3" w14:textId="77777777" w:rsidR="00655B5E" w:rsidRPr="009C17BC" w:rsidRDefault="00655B5E" w:rsidP="003336E1">
            <w:pPr>
              <w:jc w:val="both"/>
              <w:rPr>
                <w:rFonts w:cstheme="minorHAnsi"/>
                <w:b/>
              </w:rPr>
            </w:pPr>
            <w:r w:rsidRPr="009C17BC">
              <w:rPr>
                <w:rFonts w:cstheme="minorHAnsi"/>
                <w:b/>
              </w:rPr>
              <w:t>Korlátozott hozzáférésű szabályzat / melléklet esetén azon szervezeti egység(</w:t>
            </w:r>
            <w:proofErr w:type="spellStart"/>
            <w:r w:rsidRPr="009C17BC">
              <w:rPr>
                <w:rFonts w:cstheme="minorHAnsi"/>
                <w:b/>
              </w:rPr>
              <w:t>ek</w:t>
            </w:r>
            <w:proofErr w:type="spellEnd"/>
            <w:r w:rsidRPr="009C17BC">
              <w:rPr>
                <w:rFonts w:cstheme="minorHAnsi"/>
                <w:b/>
              </w:rPr>
              <w:t>) felsorolása, akik jogosultak a szabályzatot / mellékletet megismerni</w:t>
            </w:r>
          </w:p>
        </w:tc>
        <w:tc>
          <w:tcPr>
            <w:tcW w:w="2977" w:type="pct"/>
            <w:tcBorders>
              <w:top w:val="single" w:sz="4" w:space="0" w:color="auto"/>
              <w:left w:val="single" w:sz="4" w:space="0" w:color="auto"/>
              <w:bottom w:val="single" w:sz="4" w:space="0" w:color="auto"/>
              <w:right w:val="single" w:sz="4" w:space="0" w:color="auto"/>
            </w:tcBorders>
          </w:tcPr>
          <w:p w14:paraId="30D060FB" w14:textId="4CFE0DEA" w:rsidR="00655B5E" w:rsidRPr="009C17BC" w:rsidRDefault="00655B5E" w:rsidP="003336E1">
            <w:pPr>
              <w:pStyle w:val="TL"/>
              <w:ind w:left="360"/>
              <w:jc w:val="both"/>
              <w:rPr>
                <w:rFonts w:cstheme="minorHAnsi"/>
                <w:sz w:val="22"/>
                <w:szCs w:val="22"/>
              </w:rPr>
            </w:pPr>
          </w:p>
        </w:tc>
      </w:tr>
      <w:tr w:rsidR="00655B5E" w:rsidRPr="009C17BC" w14:paraId="65DAE79A" w14:textId="77777777" w:rsidTr="00CE0965">
        <w:tc>
          <w:tcPr>
            <w:tcW w:w="202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40A198" w14:textId="77777777" w:rsidR="00655B5E" w:rsidRPr="009C17BC" w:rsidRDefault="00655B5E" w:rsidP="003336E1">
            <w:pPr>
              <w:jc w:val="both"/>
              <w:rPr>
                <w:rFonts w:cstheme="minorHAnsi"/>
                <w:b/>
              </w:rPr>
            </w:pPr>
            <w:r w:rsidRPr="009C17BC">
              <w:rPr>
                <w:rFonts w:cstheme="minorHAnsi"/>
                <w:b/>
              </w:rPr>
              <w:t>Egyéb rendelkezések</w:t>
            </w:r>
          </w:p>
        </w:tc>
        <w:tc>
          <w:tcPr>
            <w:tcW w:w="2977" w:type="pct"/>
            <w:tcBorders>
              <w:top w:val="single" w:sz="4" w:space="0" w:color="auto"/>
              <w:left w:val="single" w:sz="4" w:space="0" w:color="auto"/>
              <w:bottom w:val="single" w:sz="4" w:space="0" w:color="auto"/>
              <w:right w:val="single" w:sz="4" w:space="0" w:color="auto"/>
            </w:tcBorders>
          </w:tcPr>
          <w:p w14:paraId="2184270D" w14:textId="77777777" w:rsidR="00655B5E" w:rsidRPr="009C17BC" w:rsidRDefault="00655B5E" w:rsidP="003336E1">
            <w:pPr>
              <w:pStyle w:val="TL"/>
              <w:jc w:val="both"/>
              <w:rPr>
                <w:rFonts w:cstheme="minorHAnsi"/>
                <w:sz w:val="22"/>
                <w:szCs w:val="22"/>
              </w:rPr>
            </w:pPr>
          </w:p>
        </w:tc>
      </w:tr>
    </w:tbl>
    <w:p w14:paraId="19F3DC89" w14:textId="77777777" w:rsidR="00655B5E" w:rsidRPr="009C17BC" w:rsidRDefault="00655B5E" w:rsidP="003336E1">
      <w:pPr>
        <w:jc w:val="both"/>
        <w:rPr>
          <w:rFonts w:cstheme="minorHAnsi"/>
        </w:rPr>
      </w:pPr>
    </w:p>
    <w:tbl>
      <w:tblPr>
        <w:tblpPr w:leftFromText="141" w:rightFromText="141" w:vertAnchor="text" w:horzAnchor="margin" w:tblpY="37"/>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5294"/>
      </w:tblGrid>
      <w:tr w:rsidR="00655B5E" w:rsidRPr="009C17BC" w14:paraId="17E029AB" w14:textId="77777777" w:rsidTr="00CE0965">
        <w:tc>
          <w:tcPr>
            <w:tcW w:w="2023" w:type="pct"/>
            <w:shd w:val="clear" w:color="auto" w:fill="BFBFBF"/>
          </w:tcPr>
          <w:p w14:paraId="3B60223A" w14:textId="77777777" w:rsidR="00655B5E" w:rsidRPr="009C17BC" w:rsidRDefault="00655B5E" w:rsidP="003336E1">
            <w:pPr>
              <w:jc w:val="both"/>
              <w:rPr>
                <w:rFonts w:cstheme="minorHAnsi"/>
                <w:b/>
              </w:rPr>
            </w:pPr>
            <w:r w:rsidRPr="009C17BC">
              <w:rPr>
                <w:rFonts w:cstheme="minorHAnsi"/>
                <w:b/>
              </w:rPr>
              <w:t>Szabályzatgazda szervezeti egység</w:t>
            </w:r>
          </w:p>
        </w:tc>
        <w:tc>
          <w:tcPr>
            <w:tcW w:w="2977" w:type="pct"/>
          </w:tcPr>
          <w:p w14:paraId="720DD638" w14:textId="77777777" w:rsidR="00655B5E" w:rsidRPr="009C17BC" w:rsidRDefault="00655B5E" w:rsidP="003336E1">
            <w:pPr>
              <w:jc w:val="both"/>
              <w:rPr>
                <w:rFonts w:cstheme="minorHAnsi"/>
              </w:rPr>
            </w:pPr>
            <w:r w:rsidRPr="009C17BC">
              <w:rPr>
                <w:rFonts w:cstheme="minorHAnsi"/>
              </w:rPr>
              <w:t>Humánerőforrás Osztály</w:t>
            </w:r>
          </w:p>
        </w:tc>
      </w:tr>
      <w:tr w:rsidR="00655B5E" w:rsidRPr="009C17BC" w14:paraId="07CDDF62" w14:textId="77777777" w:rsidTr="00CE0965">
        <w:tc>
          <w:tcPr>
            <w:tcW w:w="2023" w:type="pct"/>
            <w:shd w:val="clear" w:color="auto" w:fill="BFBFBF"/>
          </w:tcPr>
          <w:p w14:paraId="0DAB3A66" w14:textId="77777777" w:rsidR="00655B5E" w:rsidRPr="009C17BC" w:rsidRDefault="00655B5E" w:rsidP="003336E1">
            <w:pPr>
              <w:jc w:val="both"/>
              <w:rPr>
                <w:rFonts w:cstheme="minorHAnsi"/>
                <w:b/>
              </w:rPr>
            </w:pPr>
            <w:r w:rsidRPr="009C17BC">
              <w:rPr>
                <w:rFonts w:cstheme="minorHAnsi"/>
                <w:b/>
              </w:rPr>
              <w:t>Kibocsátó</w:t>
            </w:r>
          </w:p>
        </w:tc>
        <w:tc>
          <w:tcPr>
            <w:tcW w:w="2977" w:type="pct"/>
          </w:tcPr>
          <w:p w14:paraId="7CEC1426" w14:textId="77777777" w:rsidR="00655B5E" w:rsidRPr="009C17BC" w:rsidRDefault="00655B5E" w:rsidP="003336E1">
            <w:pPr>
              <w:jc w:val="both"/>
              <w:rPr>
                <w:rFonts w:cstheme="minorHAnsi"/>
              </w:rPr>
            </w:pPr>
            <w:r w:rsidRPr="009C17BC">
              <w:rPr>
                <w:rFonts w:cstheme="minorHAnsi"/>
              </w:rPr>
              <w:t>Felügyelő Bizottság</w:t>
            </w:r>
          </w:p>
        </w:tc>
      </w:tr>
      <w:tr w:rsidR="00655B5E" w:rsidRPr="009C17BC" w14:paraId="4B4A664B" w14:textId="77777777" w:rsidTr="00CE0965">
        <w:trPr>
          <w:trHeight w:val="380"/>
        </w:trPr>
        <w:tc>
          <w:tcPr>
            <w:tcW w:w="2023" w:type="pct"/>
            <w:shd w:val="clear" w:color="auto" w:fill="BFBFBF"/>
          </w:tcPr>
          <w:p w14:paraId="7FFF6387" w14:textId="77777777" w:rsidR="00655B5E" w:rsidRPr="009C17BC" w:rsidRDefault="00655B5E" w:rsidP="003336E1">
            <w:pPr>
              <w:jc w:val="both"/>
              <w:rPr>
                <w:rFonts w:cstheme="minorHAnsi"/>
                <w:b/>
              </w:rPr>
            </w:pPr>
            <w:r w:rsidRPr="009C17BC">
              <w:rPr>
                <w:rFonts w:cstheme="minorHAnsi"/>
                <w:b/>
              </w:rPr>
              <w:t>Utoljára módosította</w:t>
            </w:r>
          </w:p>
        </w:tc>
        <w:tc>
          <w:tcPr>
            <w:tcW w:w="2977" w:type="pct"/>
          </w:tcPr>
          <w:p w14:paraId="039A2357" w14:textId="5B215BA9" w:rsidR="00655B5E" w:rsidRPr="009C17BC" w:rsidRDefault="00655B5E" w:rsidP="003336E1">
            <w:pPr>
              <w:jc w:val="both"/>
              <w:rPr>
                <w:rFonts w:cstheme="minorHAnsi"/>
              </w:rPr>
            </w:pPr>
            <w:r w:rsidRPr="009C17BC">
              <w:rPr>
                <w:rFonts w:cstheme="minorHAnsi"/>
              </w:rPr>
              <w:t>Dr. Dégay Anett</w:t>
            </w:r>
            <w:r w:rsidR="00B51692" w:rsidRPr="009C17BC">
              <w:rPr>
                <w:rFonts w:cstheme="minorHAnsi"/>
              </w:rPr>
              <w:t xml:space="preserve"> humánerőforrás osztályvezető</w:t>
            </w:r>
          </w:p>
        </w:tc>
      </w:tr>
    </w:tbl>
    <w:p w14:paraId="0043331A" w14:textId="77777777" w:rsidR="00655B5E" w:rsidRPr="009C17BC" w:rsidRDefault="00655B5E" w:rsidP="003336E1">
      <w:pPr>
        <w:jc w:val="both"/>
        <w:rPr>
          <w:rFonts w:cstheme="minorHAnsi"/>
        </w:rPr>
      </w:pPr>
    </w:p>
    <w:p w14:paraId="12079B90" w14:textId="77777777" w:rsidR="00FA6B30" w:rsidRPr="009C17BC" w:rsidRDefault="00FA6B30" w:rsidP="003336E1">
      <w:pPr>
        <w:jc w:val="both"/>
        <w:rPr>
          <w:rFonts w:cstheme="minorHAnsi"/>
        </w:rPr>
      </w:pPr>
    </w:p>
    <w:p w14:paraId="796B3A04" w14:textId="77777777" w:rsidR="00F94510" w:rsidRDefault="00F94510" w:rsidP="003336E1">
      <w:pPr>
        <w:jc w:val="both"/>
        <w:rPr>
          <w:rFonts w:cstheme="minorHAnsi"/>
        </w:rPr>
      </w:pPr>
    </w:p>
    <w:p w14:paraId="6F371937" w14:textId="77777777" w:rsidR="00FE5527" w:rsidRDefault="00FE5527" w:rsidP="003336E1">
      <w:pPr>
        <w:jc w:val="both"/>
        <w:rPr>
          <w:rFonts w:cstheme="minorHAnsi"/>
        </w:rPr>
      </w:pPr>
    </w:p>
    <w:p w14:paraId="3EDC8DA6" w14:textId="77777777" w:rsidR="00FE5527" w:rsidRPr="009C17BC" w:rsidRDefault="00FE5527" w:rsidP="003336E1">
      <w:pPr>
        <w:jc w:val="both"/>
        <w:rPr>
          <w:rFonts w:cstheme="minorHAnsi"/>
        </w:rPr>
      </w:pPr>
    </w:p>
    <w:tbl>
      <w:tblPr>
        <w:tblpPr w:leftFromText="141" w:rightFromText="141" w:vertAnchor="text" w:tblpY="54"/>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4339"/>
        <w:gridCol w:w="2355"/>
      </w:tblGrid>
      <w:tr w:rsidR="00655B5E" w:rsidRPr="009C17BC" w14:paraId="4E56C955" w14:textId="77777777" w:rsidTr="00CE0965">
        <w:trPr>
          <w:trHeight w:val="337"/>
        </w:trPr>
        <w:tc>
          <w:tcPr>
            <w:tcW w:w="5000" w:type="pct"/>
            <w:gridSpan w:val="3"/>
            <w:shd w:val="clear" w:color="auto" w:fill="BFBFBF"/>
            <w:vAlign w:val="center"/>
          </w:tcPr>
          <w:p w14:paraId="43C742B4" w14:textId="77777777" w:rsidR="00655B5E" w:rsidRPr="009C17BC" w:rsidRDefault="00655B5E" w:rsidP="003336E1">
            <w:pPr>
              <w:jc w:val="both"/>
              <w:rPr>
                <w:rFonts w:cstheme="minorHAnsi"/>
                <w:b/>
              </w:rPr>
            </w:pPr>
            <w:r w:rsidRPr="009C17BC">
              <w:rPr>
                <w:rFonts w:cstheme="minorHAnsi"/>
                <w:b/>
              </w:rPr>
              <w:lastRenderedPageBreak/>
              <w:t>Mellékletösszesítő</w:t>
            </w:r>
          </w:p>
        </w:tc>
      </w:tr>
      <w:tr w:rsidR="00655B5E" w:rsidRPr="009C17BC" w14:paraId="75FBB98C" w14:textId="77777777" w:rsidTr="00CE0965">
        <w:trPr>
          <w:trHeight w:val="403"/>
        </w:trPr>
        <w:tc>
          <w:tcPr>
            <w:tcW w:w="1234" w:type="pct"/>
            <w:shd w:val="clear" w:color="auto" w:fill="BFBFBF"/>
            <w:vAlign w:val="center"/>
          </w:tcPr>
          <w:p w14:paraId="7276A8D4" w14:textId="77777777" w:rsidR="00655B5E" w:rsidRPr="009C17BC" w:rsidRDefault="00655B5E" w:rsidP="003336E1">
            <w:pPr>
              <w:jc w:val="both"/>
              <w:rPr>
                <w:rFonts w:cstheme="minorHAnsi"/>
                <w:b/>
              </w:rPr>
            </w:pPr>
            <w:r w:rsidRPr="009C17BC">
              <w:rPr>
                <w:rFonts w:cstheme="minorHAnsi"/>
                <w:b/>
              </w:rPr>
              <w:t>Melléklet száma</w:t>
            </w:r>
            <w:r w:rsidRPr="009C17BC">
              <w:rPr>
                <w:rStyle w:val="Lbjegyzet-hivatkozs"/>
                <w:rFonts w:cstheme="minorHAnsi"/>
                <w:b/>
              </w:rPr>
              <w:footnoteReference w:id="1"/>
            </w:r>
          </w:p>
        </w:tc>
        <w:tc>
          <w:tcPr>
            <w:tcW w:w="2441" w:type="pct"/>
            <w:shd w:val="clear" w:color="auto" w:fill="BFBFBF"/>
            <w:vAlign w:val="center"/>
          </w:tcPr>
          <w:p w14:paraId="4D37BCE2" w14:textId="77777777" w:rsidR="00655B5E" w:rsidRPr="009C17BC" w:rsidRDefault="00655B5E" w:rsidP="003336E1">
            <w:pPr>
              <w:jc w:val="both"/>
              <w:rPr>
                <w:rFonts w:cstheme="minorHAnsi"/>
                <w:b/>
              </w:rPr>
            </w:pPr>
            <w:r w:rsidRPr="009C17BC">
              <w:rPr>
                <w:rFonts w:cstheme="minorHAnsi"/>
                <w:b/>
              </w:rPr>
              <w:t>Melléklet elnevezése</w:t>
            </w:r>
          </w:p>
        </w:tc>
        <w:tc>
          <w:tcPr>
            <w:tcW w:w="1325" w:type="pct"/>
            <w:shd w:val="clear" w:color="auto" w:fill="BFBFBF"/>
            <w:vAlign w:val="center"/>
          </w:tcPr>
          <w:p w14:paraId="6E560B48" w14:textId="77777777" w:rsidR="00655B5E" w:rsidRPr="009C17BC" w:rsidRDefault="00655B5E" w:rsidP="003336E1">
            <w:pPr>
              <w:jc w:val="both"/>
              <w:rPr>
                <w:rFonts w:cstheme="minorHAnsi"/>
                <w:b/>
              </w:rPr>
            </w:pPr>
            <w:r w:rsidRPr="009C17BC">
              <w:rPr>
                <w:rFonts w:cstheme="minorHAnsi"/>
                <w:b/>
              </w:rPr>
              <w:t xml:space="preserve">Módosítás jóváhagyására </w:t>
            </w:r>
            <w:r w:rsidRPr="009C17BC">
              <w:rPr>
                <w:rFonts w:cstheme="minorHAnsi"/>
                <w:b/>
              </w:rPr>
              <w:br/>
              <w:t>jogosult</w:t>
            </w:r>
          </w:p>
        </w:tc>
      </w:tr>
      <w:tr w:rsidR="00655B5E" w:rsidRPr="009C17BC" w14:paraId="321C9DFE" w14:textId="77777777" w:rsidTr="00CE0965">
        <w:tc>
          <w:tcPr>
            <w:tcW w:w="1234" w:type="pct"/>
            <w:vAlign w:val="center"/>
          </w:tcPr>
          <w:p w14:paraId="550A1B61" w14:textId="77777777" w:rsidR="00655B5E" w:rsidRPr="009C17BC" w:rsidRDefault="00655B5E" w:rsidP="003336E1">
            <w:pPr>
              <w:pStyle w:val="Listaszerbekezds"/>
              <w:numPr>
                <w:ilvl w:val="0"/>
                <w:numId w:val="39"/>
              </w:numPr>
              <w:spacing w:after="0" w:line="240" w:lineRule="auto"/>
              <w:jc w:val="both"/>
              <w:rPr>
                <w:rFonts w:cstheme="minorHAnsi"/>
              </w:rPr>
            </w:pPr>
            <w:r w:rsidRPr="009C17BC">
              <w:rPr>
                <w:rFonts w:cstheme="minorHAnsi"/>
              </w:rPr>
              <w:t>számú melléklet – szabályzatban / külön fájlban</w:t>
            </w:r>
          </w:p>
        </w:tc>
        <w:tc>
          <w:tcPr>
            <w:tcW w:w="2441" w:type="pct"/>
          </w:tcPr>
          <w:p w14:paraId="7FC94B40" w14:textId="77777777" w:rsidR="00655B5E" w:rsidRPr="009C17BC" w:rsidRDefault="00655B5E" w:rsidP="003336E1">
            <w:pPr>
              <w:jc w:val="both"/>
              <w:rPr>
                <w:rFonts w:cstheme="minorHAnsi"/>
              </w:rPr>
            </w:pPr>
            <w:r w:rsidRPr="009C17BC">
              <w:rPr>
                <w:rFonts w:cstheme="minorHAnsi"/>
              </w:rPr>
              <w:t>A Duna Takarék Bank Zrt. esetén azonosított munkavállalók</w:t>
            </w:r>
          </w:p>
        </w:tc>
        <w:tc>
          <w:tcPr>
            <w:tcW w:w="1325" w:type="pct"/>
            <w:vAlign w:val="center"/>
          </w:tcPr>
          <w:p w14:paraId="6858CF7B" w14:textId="77777777" w:rsidR="00655B5E" w:rsidRPr="009C17BC" w:rsidRDefault="00655B5E" w:rsidP="003336E1">
            <w:pPr>
              <w:jc w:val="both"/>
              <w:rPr>
                <w:rFonts w:cstheme="minorHAnsi"/>
              </w:rPr>
            </w:pPr>
            <w:r w:rsidRPr="009C17BC">
              <w:rPr>
                <w:rFonts w:cstheme="minorHAnsi"/>
              </w:rPr>
              <w:t>Felügyelő Bizottság / Humánerőforrás Osztály</w:t>
            </w:r>
          </w:p>
        </w:tc>
      </w:tr>
      <w:tr w:rsidR="00655B5E" w:rsidRPr="009C17BC" w14:paraId="3F44F106" w14:textId="77777777" w:rsidTr="00CE0965">
        <w:tc>
          <w:tcPr>
            <w:tcW w:w="1234" w:type="pct"/>
            <w:vAlign w:val="center"/>
          </w:tcPr>
          <w:p w14:paraId="0EE5D9DD" w14:textId="77777777" w:rsidR="00655B5E" w:rsidRPr="009C17BC" w:rsidRDefault="00655B5E" w:rsidP="003336E1">
            <w:pPr>
              <w:pStyle w:val="Listaszerbekezds"/>
              <w:numPr>
                <w:ilvl w:val="0"/>
                <w:numId w:val="39"/>
              </w:numPr>
              <w:spacing w:after="0" w:line="240" w:lineRule="auto"/>
              <w:jc w:val="both"/>
              <w:rPr>
                <w:rFonts w:cstheme="minorHAnsi"/>
              </w:rPr>
            </w:pPr>
            <w:r w:rsidRPr="009C17BC">
              <w:rPr>
                <w:rFonts w:cstheme="minorHAnsi"/>
              </w:rPr>
              <w:t>számú melléklet – szabályzatban / külön fájlban</w:t>
            </w:r>
          </w:p>
        </w:tc>
        <w:tc>
          <w:tcPr>
            <w:tcW w:w="2441" w:type="pct"/>
            <w:vAlign w:val="center"/>
          </w:tcPr>
          <w:p w14:paraId="22E3BCCB" w14:textId="77777777" w:rsidR="00655B5E" w:rsidRPr="009C17BC" w:rsidRDefault="00655B5E" w:rsidP="003336E1">
            <w:pPr>
              <w:jc w:val="both"/>
              <w:rPr>
                <w:rFonts w:cstheme="minorHAnsi"/>
                <w:bCs/>
              </w:rPr>
            </w:pPr>
            <w:r w:rsidRPr="009C17BC">
              <w:rPr>
                <w:rFonts w:cstheme="minorHAnsi"/>
                <w:bCs/>
              </w:rPr>
              <w:t>A Duna Takarék Bank Zrt. (DTB) központi teljesítményértékelési és mozgóbérezési (továbbiakban TÉR és MBR) rendszerének alapelvei</w:t>
            </w:r>
          </w:p>
          <w:p w14:paraId="15CE727E" w14:textId="77777777" w:rsidR="00655B5E" w:rsidRPr="009C17BC" w:rsidRDefault="00655B5E" w:rsidP="003336E1">
            <w:pPr>
              <w:jc w:val="both"/>
              <w:rPr>
                <w:rFonts w:cstheme="minorHAnsi"/>
              </w:rPr>
            </w:pPr>
          </w:p>
        </w:tc>
        <w:tc>
          <w:tcPr>
            <w:tcW w:w="1325" w:type="pct"/>
            <w:vAlign w:val="center"/>
          </w:tcPr>
          <w:p w14:paraId="2C0B0ED6" w14:textId="77777777" w:rsidR="00655B5E" w:rsidRPr="009C17BC" w:rsidRDefault="00655B5E" w:rsidP="003336E1">
            <w:pPr>
              <w:jc w:val="both"/>
              <w:rPr>
                <w:rFonts w:cstheme="minorHAnsi"/>
              </w:rPr>
            </w:pPr>
            <w:r w:rsidRPr="009C17BC">
              <w:rPr>
                <w:rFonts w:cstheme="minorHAnsi"/>
              </w:rPr>
              <w:t>Felügyelő Bizottság / Humánerőforrás Osztály</w:t>
            </w:r>
          </w:p>
        </w:tc>
      </w:tr>
      <w:tr w:rsidR="00F27206" w:rsidRPr="009C17BC" w14:paraId="5763E2AF" w14:textId="77777777" w:rsidTr="00CE0965">
        <w:tc>
          <w:tcPr>
            <w:tcW w:w="1234" w:type="pct"/>
            <w:vAlign w:val="center"/>
          </w:tcPr>
          <w:p w14:paraId="30481288" w14:textId="291F6BCD" w:rsidR="00F27206" w:rsidRPr="009C17BC" w:rsidRDefault="00F27206" w:rsidP="003336E1">
            <w:pPr>
              <w:pStyle w:val="Listaszerbekezds"/>
              <w:numPr>
                <w:ilvl w:val="0"/>
                <w:numId w:val="39"/>
              </w:numPr>
              <w:spacing w:after="0" w:line="240" w:lineRule="auto"/>
              <w:jc w:val="both"/>
              <w:rPr>
                <w:rFonts w:cstheme="minorHAnsi"/>
              </w:rPr>
            </w:pPr>
            <w:r w:rsidRPr="009C17BC">
              <w:rPr>
                <w:rFonts w:cstheme="minorHAnsi"/>
              </w:rPr>
              <w:t>számú melléklet – szabályzatban / külön fájlban</w:t>
            </w:r>
          </w:p>
        </w:tc>
        <w:tc>
          <w:tcPr>
            <w:tcW w:w="2441" w:type="pct"/>
            <w:vAlign w:val="center"/>
          </w:tcPr>
          <w:p w14:paraId="3B5645C6" w14:textId="77777777" w:rsidR="00F27206" w:rsidRPr="009C17BC" w:rsidRDefault="00F27206" w:rsidP="003336E1">
            <w:pPr>
              <w:tabs>
                <w:tab w:val="left" w:pos="851"/>
              </w:tabs>
              <w:ind w:left="142"/>
              <w:jc w:val="both"/>
              <w:rPr>
                <w:rFonts w:cstheme="minorHAnsi"/>
              </w:rPr>
            </w:pPr>
            <w:r w:rsidRPr="009C17BC">
              <w:rPr>
                <w:rFonts w:cstheme="minorHAnsi"/>
              </w:rPr>
              <w:t>Egyéni ösztönzési lapok</w:t>
            </w:r>
          </w:p>
          <w:p w14:paraId="57FBCA7D" w14:textId="77777777" w:rsidR="00F27206" w:rsidRPr="009C17BC" w:rsidRDefault="00F27206" w:rsidP="003336E1">
            <w:pPr>
              <w:jc w:val="both"/>
              <w:rPr>
                <w:rFonts w:cstheme="minorHAnsi"/>
                <w:bCs/>
              </w:rPr>
            </w:pPr>
          </w:p>
        </w:tc>
        <w:tc>
          <w:tcPr>
            <w:tcW w:w="1325" w:type="pct"/>
            <w:vAlign w:val="center"/>
          </w:tcPr>
          <w:p w14:paraId="71940A81" w14:textId="4CFF4F36" w:rsidR="00F27206" w:rsidRPr="009C17BC" w:rsidRDefault="00F27206" w:rsidP="003336E1">
            <w:pPr>
              <w:jc w:val="both"/>
              <w:rPr>
                <w:rFonts w:cstheme="minorHAnsi"/>
              </w:rPr>
            </w:pPr>
            <w:r w:rsidRPr="009C17BC">
              <w:rPr>
                <w:rFonts w:cstheme="minorHAnsi"/>
              </w:rPr>
              <w:t>Felügyelő Bizottság / Humánerőforrás Osztály</w:t>
            </w:r>
          </w:p>
        </w:tc>
      </w:tr>
      <w:tr w:rsidR="00F27206" w:rsidRPr="009C17BC" w14:paraId="37585795" w14:textId="77777777" w:rsidTr="00CE0965">
        <w:tc>
          <w:tcPr>
            <w:tcW w:w="1234" w:type="pct"/>
            <w:vAlign w:val="center"/>
          </w:tcPr>
          <w:p w14:paraId="75F31C83" w14:textId="18EC1061" w:rsidR="00F27206" w:rsidRPr="009C17BC" w:rsidRDefault="00F27206" w:rsidP="003336E1">
            <w:pPr>
              <w:pStyle w:val="Listaszerbekezds"/>
              <w:numPr>
                <w:ilvl w:val="0"/>
                <w:numId w:val="39"/>
              </w:numPr>
              <w:spacing w:after="0" w:line="240" w:lineRule="auto"/>
              <w:jc w:val="both"/>
              <w:rPr>
                <w:rFonts w:cstheme="minorHAnsi"/>
              </w:rPr>
            </w:pPr>
            <w:r w:rsidRPr="009C17BC">
              <w:rPr>
                <w:rFonts w:cstheme="minorHAnsi"/>
              </w:rPr>
              <w:t>számú melléklet – szabályzatban / külön fájlban</w:t>
            </w:r>
          </w:p>
        </w:tc>
        <w:tc>
          <w:tcPr>
            <w:tcW w:w="2441" w:type="pct"/>
            <w:vAlign w:val="center"/>
          </w:tcPr>
          <w:p w14:paraId="0A99BF2F" w14:textId="53F54836" w:rsidR="00F27206" w:rsidRPr="009C17BC" w:rsidRDefault="00F27206" w:rsidP="003336E1">
            <w:pPr>
              <w:jc w:val="both"/>
              <w:rPr>
                <w:rFonts w:cstheme="minorHAnsi"/>
                <w:bCs/>
              </w:rPr>
            </w:pPr>
            <w:r w:rsidRPr="009C17BC">
              <w:rPr>
                <w:rFonts w:cstheme="minorHAnsi"/>
              </w:rPr>
              <w:t>Duna Kavics egyéni érdekeltségi ösztönző rendszer ügyvezetői utasítás</w:t>
            </w:r>
          </w:p>
        </w:tc>
        <w:tc>
          <w:tcPr>
            <w:tcW w:w="1325" w:type="pct"/>
            <w:vAlign w:val="center"/>
          </w:tcPr>
          <w:p w14:paraId="47482FA3" w14:textId="27C74FB0" w:rsidR="00F27206" w:rsidRPr="009C17BC" w:rsidRDefault="00F27206" w:rsidP="003336E1">
            <w:pPr>
              <w:jc w:val="both"/>
              <w:rPr>
                <w:rFonts w:cstheme="minorHAnsi"/>
              </w:rPr>
            </w:pPr>
            <w:r w:rsidRPr="009C17BC">
              <w:rPr>
                <w:rFonts w:cstheme="minorHAnsi"/>
              </w:rPr>
              <w:t>Felügyelő Bizottság / Humánerőforrás Osztály</w:t>
            </w:r>
          </w:p>
        </w:tc>
      </w:tr>
      <w:tr w:rsidR="00F27206" w:rsidRPr="009C17BC" w14:paraId="427FD98A" w14:textId="77777777" w:rsidTr="00CE0965">
        <w:tc>
          <w:tcPr>
            <w:tcW w:w="1234" w:type="pct"/>
            <w:vAlign w:val="center"/>
          </w:tcPr>
          <w:p w14:paraId="1EE727A0" w14:textId="58C64A85" w:rsidR="00F27206" w:rsidRPr="009C17BC" w:rsidRDefault="00F27206" w:rsidP="003336E1">
            <w:pPr>
              <w:pStyle w:val="Listaszerbekezds"/>
              <w:numPr>
                <w:ilvl w:val="0"/>
                <w:numId w:val="39"/>
              </w:numPr>
              <w:spacing w:after="0" w:line="240" w:lineRule="auto"/>
              <w:jc w:val="both"/>
              <w:rPr>
                <w:rFonts w:cstheme="minorHAnsi"/>
              </w:rPr>
            </w:pPr>
            <w:r w:rsidRPr="009C17BC">
              <w:rPr>
                <w:rFonts w:cstheme="minorHAnsi"/>
              </w:rPr>
              <w:t>számú melléklet – szabályzatban / külön fájlban</w:t>
            </w:r>
          </w:p>
        </w:tc>
        <w:tc>
          <w:tcPr>
            <w:tcW w:w="2441" w:type="pct"/>
            <w:vAlign w:val="center"/>
          </w:tcPr>
          <w:p w14:paraId="24E7D8FB" w14:textId="2B3F4016" w:rsidR="00F27206" w:rsidRPr="009C17BC" w:rsidRDefault="00F27206" w:rsidP="003336E1">
            <w:pPr>
              <w:jc w:val="both"/>
              <w:rPr>
                <w:rFonts w:cstheme="minorHAnsi"/>
                <w:bCs/>
              </w:rPr>
            </w:pPr>
            <w:r w:rsidRPr="009C17BC">
              <w:rPr>
                <w:rFonts w:cstheme="minorHAnsi"/>
                <w:bCs/>
              </w:rPr>
              <w:t>A teljesítményértékelés folyamatának feladatai és annak menetrendje</w:t>
            </w:r>
          </w:p>
        </w:tc>
        <w:tc>
          <w:tcPr>
            <w:tcW w:w="1325" w:type="pct"/>
            <w:vAlign w:val="center"/>
          </w:tcPr>
          <w:p w14:paraId="6D7BD3F9" w14:textId="4A5050E9" w:rsidR="00F27206" w:rsidRPr="009C17BC" w:rsidRDefault="00F27206" w:rsidP="003336E1">
            <w:pPr>
              <w:jc w:val="both"/>
              <w:rPr>
                <w:rFonts w:cstheme="minorHAnsi"/>
              </w:rPr>
            </w:pPr>
            <w:r w:rsidRPr="009C17BC">
              <w:rPr>
                <w:rFonts w:cstheme="minorHAnsi"/>
              </w:rPr>
              <w:t>Felügyelő Bizottság / Humánerőforrás Osztály</w:t>
            </w:r>
          </w:p>
        </w:tc>
      </w:tr>
      <w:tr w:rsidR="00F27206" w:rsidRPr="009C17BC" w14:paraId="545D114F" w14:textId="77777777" w:rsidTr="00CE0965">
        <w:tc>
          <w:tcPr>
            <w:tcW w:w="1234" w:type="pct"/>
            <w:vAlign w:val="center"/>
          </w:tcPr>
          <w:p w14:paraId="6A8B43E0" w14:textId="3F25A9FC" w:rsidR="00F27206" w:rsidRPr="009C17BC" w:rsidRDefault="00F27206" w:rsidP="003336E1">
            <w:pPr>
              <w:pStyle w:val="Listaszerbekezds"/>
              <w:numPr>
                <w:ilvl w:val="0"/>
                <w:numId w:val="39"/>
              </w:numPr>
              <w:spacing w:after="0" w:line="240" w:lineRule="auto"/>
              <w:jc w:val="both"/>
              <w:rPr>
                <w:rFonts w:cstheme="minorHAnsi"/>
              </w:rPr>
            </w:pPr>
            <w:r w:rsidRPr="009C17BC">
              <w:rPr>
                <w:rFonts w:cstheme="minorHAnsi"/>
              </w:rPr>
              <w:t>számú melléklet – szabályzatban / külön fájlban</w:t>
            </w:r>
          </w:p>
        </w:tc>
        <w:tc>
          <w:tcPr>
            <w:tcW w:w="2441" w:type="pct"/>
            <w:vAlign w:val="center"/>
          </w:tcPr>
          <w:p w14:paraId="5F11AF6E" w14:textId="77777777" w:rsidR="00F27206" w:rsidRPr="009C17BC" w:rsidRDefault="00F27206" w:rsidP="003336E1">
            <w:pPr>
              <w:tabs>
                <w:tab w:val="left" w:pos="851"/>
              </w:tabs>
              <w:ind w:left="142"/>
              <w:jc w:val="both"/>
              <w:rPr>
                <w:rFonts w:cstheme="minorHAnsi"/>
              </w:rPr>
            </w:pPr>
            <w:r w:rsidRPr="009C17BC">
              <w:rPr>
                <w:rFonts w:cstheme="minorHAnsi"/>
                <w:bCs/>
              </w:rPr>
              <w:t>Javadalmazási méréshez kötődő eredmény, értékesítési és kockázati mutatók      tartalmának leírása, kiszámítása</w:t>
            </w:r>
          </w:p>
          <w:p w14:paraId="7BB7CE6D" w14:textId="77777777" w:rsidR="00F27206" w:rsidRPr="009C17BC" w:rsidRDefault="00F27206" w:rsidP="003336E1">
            <w:pPr>
              <w:jc w:val="both"/>
              <w:rPr>
                <w:rFonts w:cstheme="minorHAnsi"/>
                <w:bCs/>
              </w:rPr>
            </w:pPr>
          </w:p>
        </w:tc>
        <w:tc>
          <w:tcPr>
            <w:tcW w:w="1325" w:type="pct"/>
            <w:vAlign w:val="center"/>
          </w:tcPr>
          <w:p w14:paraId="55771492" w14:textId="187D63D7" w:rsidR="00F27206" w:rsidRPr="009C17BC" w:rsidRDefault="00F27206" w:rsidP="003336E1">
            <w:pPr>
              <w:jc w:val="both"/>
              <w:rPr>
                <w:rFonts w:cstheme="minorHAnsi"/>
              </w:rPr>
            </w:pPr>
            <w:r w:rsidRPr="009C17BC">
              <w:rPr>
                <w:rFonts w:cstheme="minorHAnsi"/>
              </w:rPr>
              <w:t>Felügyelő Bizottság / Humánerőforrás Osztály</w:t>
            </w:r>
          </w:p>
        </w:tc>
      </w:tr>
    </w:tbl>
    <w:p w14:paraId="1B442C04" w14:textId="77777777" w:rsidR="00F27206" w:rsidRPr="009C17BC" w:rsidRDefault="00F27206" w:rsidP="003336E1">
      <w:pPr>
        <w:jc w:val="both"/>
        <w:rPr>
          <w:rFonts w:cstheme="minorHAnsi"/>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60"/>
      </w:tblGrid>
      <w:tr w:rsidR="00655B5E" w:rsidRPr="009C17BC" w14:paraId="6CB06EB2" w14:textId="77777777" w:rsidTr="00094382">
        <w:trPr>
          <w:trHeight w:val="353"/>
        </w:trPr>
        <w:tc>
          <w:tcPr>
            <w:tcW w:w="10060" w:type="dxa"/>
            <w:shd w:val="clear" w:color="auto" w:fill="auto"/>
            <w:vAlign w:val="center"/>
          </w:tcPr>
          <w:p w14:paraId="598F6206" w14:textId="77777777" w:rsidR="00655B5E" w:rsidRPr="009C17BC" w:rsidRDefault="00655B5E" w:rsidP="003336E1">
            <w:pPr>
              <w:jc w:val="both"/>
              <w:rPr>
                <w:rFonts w:cstheme="minorHAnsi"/>
              </w:rPr>
            </w:pPr>
            <w:r w:rsidRPr="009C17BC">
              <w:rPr>
                <w:rFonts w:cstheme="minorHAnsi"/>
              </w:rPr>
              <w:t>Hatályon kívül helyezett szabályozások</w:t>
            </w:r>
          </w:p>
        </w:tc>
      </w:tr>
      <w:tr w:rsidR="00655B5E" w:rsidRPr="009C17BC" w14:paraId="056615C7" w14:textId="77777777" w:rsidTr="00094382">
        <w:trPr>
          <w:trHeight w:val="624"/>
        </w:trPr>
        <w:tc>
          <w:tcPr>
            <w:tcW w:w="10060" w:type="dxa"/>
            <w:shd w:val="clear" w:color="auto" w:fill="FFFFFF"/>
            <w:vAlign w:val="center"/>
          </w:tcPr>
          <w:p w14:paraId="47939FCB" w14:textId="14E19B73" w:rsidR="00655B5E" w:rsidRPr="009C17BC" w:rsidRDefault="00023799" w:rsidP="003336E1">
            <w:pPr>
              <w:pStyle w:val="Listaszerbekezds"/>
              <w:numPr>
                <w:ilvl w:val="0"/>
                <w:numId w:val="38"/>
              </w:numPr>
              <w:spacing w:after="0" w:line="240" w:lineRule="auto"/>
              <w:jc w:val="both"/>
              <w:rPr>
                <w:rFonts w:cstheme="minorHAnsi"/>
              </w:rPr>
            </w:pPr>
            <w:r>
              <w:rPr>
                <w:rFonts w:cstheme="minorHAnsi"/>
              </w:rPr>
              <w:t xml:space="preserve">Jelen szabályzat hatályba lépésével egyidejűleg hatályát veszti a </w:t>
            </w:r>
            <w:r w:rsidR="00655658" w:rsidRPr="009C17BC">
              <w:rPr>
                <w:rFonts w:cstheme="minorHAnsi"/>
              </w:rPr>
              <w:t xml:space="preserve">84/2022 FB (2022.08.10) számú </w:t>
            </w:r>
            <w:r>
              <w:rPr>
                <w:rFonts w:cstheme="minorHAnsi"/>
              </w:rPr>
              <w:t>szabályzat.</w:t>
            </w:r>
          </w:p>
        </w:tc>
      </w:tr>
    </w:tbl>
    <w:p w14:paraId="385E1D67" w14:textId="77777777" w:rsidR="00655B5E" w:rsidRPr="009C17BC" w:rsidRDefault="00655B5E" w:rsidP="003336E1">
      <w:pPr>
        <w:jc w:val="both"/>
        <w:rPr>
          <w:rFonts w:cstheme="minorHAnsi"/>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655B5E" w:rsidRPr="009C17BC" w14:paraId="507B970C" w14:textId="77777777" w:rsidTr="00CE0965">
        <w:trPr>
          <w:trHeight w:val="1116"/>
        </w:trPr>
        <w:tc>
          <w:tcPr>
            <w:tcW w:w="10060" w:type="dxa"/>
            <w:vAlign w:val="center"/>
          </w:tcPr>
          <w:p w14:paraId="07F9BA38" w14:textId="75922DFF" w:rsidR="00655B5E" w:rsidRPr="009C17BC" w:rsidRDefault="00023799" w:rsidP="003336E1">
            <w:pPr>
              <w:jc w:val="both"/>
              <w:rPr>
                <w:rFonts w:cstheme="minorHAnsi"/>
              </w:rPr>
            </w:pPr>
            <w:r>
              <w:rPr>
                <w:rFonts w:cstheme="minorHAnsi"/>
              </w:rPr>
              <w:t xml:space="preserve">30/2023 (09.19.) számú határozattal elfogadta a </w:t>
            </w:r>
            <w:r w:rsidR="00FE5527">
              <w:rPr>
                <w:rFonts w:cstheme="minorHAnsi"/>
              </w:rPr>
              <w:t>F</w:t>
            </w:r>
            <w:r>
              <w:rPr>
                <w:rFonts w:cstheme="minorHAnsi"/>
              </w:rPr>
              <w:t>elügyelő Bizottság</w:t>
            </w:r>
          </w:p>
          <w:p w14:paraId="33BC0E41" w14:textId="7B04FD32" w:rsidR="00655B5E" w:rsidRPr="009C17BC" w:rsidRDefault="00655B5E" w:rsidP="003336E1">
            <w:pPr>
              <w:jc w:val="both"/>
              <w:rPr>
                <w:rFonts w:cstheme="minorHAnsi"/>
              </w:rPr>
            </w:pPr>
            <w:r w:rsidRPr="009C17BC">
              <w:rPr>
                <w:rFonts w:cstheme="minorHAnsi"/>
              </w:rPr>
              <w:t xml:space="preserve">Győr, </w:t>
            </w:r>
            <w:r w:rsidR="00655658" w:rsidRPr="009C17BC">
              <w:rPr>
                <w:rFonts w:cstheme="minorHAnsi"/>
              </w:rPr>
              <w:t>2023.10.</w:t>
            </w:r>
            <w:r w:rsidR="00023799">
              <w:rPr>
                <w:rFonts w:cstheme="minorHAnsi"/>
              </w:rPr>
              <w:t>13.</w:t>
            </w:r>
            <w:r w:rsidR="00CA65E0" w:rsidRPr="009C17BC">
              <w:rPr>
                <w:rFonts w:cstheme="minorHAnsi"/>
              </w:rPr>
              <w:t xml:space="preserve"> </w:t>
            </w:r>
          </w:p>
        </w:tc>
      </w:tr>
    </w:tbl>
    <w:sdt>
      <w:sdtPr>
        <w:rPr>
          <w:rFonts w:eastAsia="Times New Roman" w:cstheme="minorHAnsi"/>
        </w:rPr>
        <w:id w:val="1887841446"/>
        <w:docPartObj>
          <w:docPartGallery w:val="Table of Contents"/>
          <w:docPartUnique/>
        </w:docPartObj>
      </w:sdtPr>
      <w:sdtEndPr>
        <w:rPr>
          <w:rFonts w:eastAsiaTheme="minorEastAsia"/>
          <w:b/>
          <w:bCs/>
        </w:rPr>
      </w:sdtEndPr>
      <w:sdtContent>
        <w:p w14:paraId="0250D137" w14:textId="77777777" w:rsidR="00023799" w:rsidRDefault="00023799" w:rsidP="003336E1">
          <w:pPr>
            <w:jc w:val="both"/>
            <w:rPr>
              <w:rFonts w:eastAsia="Times New Roman" w:cstheme="minorHAnsi"/>
            </w:rPr>
          </w:pPr>
        </w:p>
        <w:p w14:paraId="799710C9" w14:textId="77777777" w:rsidR="00023799" w:rsidRDefault="00023799" w:rsidP="003336E1">
          <w:pPr>
            <w:jc w:val="both"/>
            <w:rPr>
              <w:rFonts w:eastAsia="Times New Roman" w:cstheme="minorHAnsi"/>
            </w:rPr>
          </w:pPr>
        </w:p>
        <w:p w14:paraId="4DA5BC63" w14:textId="77777777" w:rsidR="00023799" w:rsidRDefault="00023799" w:rsidP="003336E1">
          <w:pPr>
            <w:jc w:val="both"/>
            <w:rPr>
              <w:rFonts w:eastAsia="Times New Roman" w:cstheme="minorHAnsi"/>
            </w:rPr>
          </w:pPr>
        </w:p>
        <w:p w14:paraId="269F8554" w14:textId="77777777" w:rsidR="00023799" w:rsidRDefault="00023799" w:rsidP="003336E1">
          <w:pPr>
            <w:jc w:val="both"/>
            <w:rPr>
              <w:rFonts w:eastAsia="Times New Roman" w:cstheme="minorHAnsi"/>
            </w:rPr>
          </w:pPr>
        </w:p>
        <w:p w14:paraId="1494923E" w14:textId="6A38F86E" w:rsidR="00655B5E" w:rsidRPr="00023799" w:rsidRDefault="00655B5E" w:rsidP="003336E1">
          <w:pPr>
            <w:jc w:val="both"/>
            <w:rPr>
              <w:rFonts w:eastAsia="Times New Roman" w:cstheme="minorHAnsi"/>
            </w:rPr>
          </w:pPr>
          <w:r w:rsidRPr="009C17BC">
            <w:rPr>
              <w:rFonts w:cstheme="minorHAnsi"/>
              <w:b/>
              <w:bCs/>
            </w:rPr>
            <w:t>Tartalom</w:t>
          </w:r>
        </w:p>
        <w:p w14:paraId="3A0DCFE6" w14:textId="62BC0EF2" w:rsidR="00D00A7D" w:rsidRPr="009C17BC" w:rsidRDefault="00655B5E" w:rsidP="003336E1">
          <w:pPr>
            <w:pStyle w:val="TJ1"/>
            <w:jc w:val="both"/>
            <w:rPr>
              <w:rFonts w:cstheme="minorHAnsi"/>
              <w:noProof/>
              <w:kern w:val="2"/>
              <w:lang w:eastAsia="hu-HU"/>
              <w14:ligatures w14:val="standardContextual"/>
            </w:rPr>
          </w:pPr>
          <w:r w:rsidRPr="009C17BC">
            <w:rPr>
              <w:rFonts w:cstheme="minorHAnsi"/>
            </w:rPr>
            <w:fldChar w:fldCharType="begin"/>
          </w:r>
          <w:r w:rsidRPr="009C17BC">
            <w:rPr>
              <w:rFonts w:cstheme="minorHAnsi"/>
            </w:rPr>
            <w:instrText xml:space="preserve"> TOC \o "1-3" \h \z \u </w:instrText>
          </w:r>
          <w:r w:rsidRPr="009C17BC">
            <w:rPr>
              <w:rFonts w:cstheme="minorHAnsi"/>
            </w:rPr>
            <w:fldChar w:fldCharType="separate"/>
          </w:r>
          <w:hyperlink w:anchor="_Toc147237465" w:history="1">
            <w:r w:rsidR="00D00A7D" w:rsidRPr="009C17BC">
              <w:rPr>
                <w:rStyle w:val="Hiperhivatkozs"/>
                <w:rFonts w:cstheme="minorHAnsi"/>
                <w:noProof/>
              </w:rPr>
              <w:t>1.</w:t>
            </w:r>
            <w:r w:rsidR="00D00A7D" w:rsidRPr="009C17BC">
              <w:rPr>
                <w:rFonts w:cstheme="minorHAnsi"/>
                <w:noProof/>
                <w:kern w:val="2"/>
                <w:lang w:eastAsia="hu-HU"/>
                <w14:ligatures w14:val="standardContextual"/>
              </w:rPr>
              <w:tab/>
            </w:r>
            <w:r w:rsidR="00D00A7D" w:rsidRPr="009C17BC">
              <w:rPr>
                <w:rStyle w:val="Hiperhivatkozs"/>
                <w:rFonts w:cstheme="minorHAnsi"/>
                <w:noProof/>
              </w:rPr>
              <w:t>Szabályzat tárgya</w:t>
            </w:r>
            <w:r w:rsidR="00D00A7D" w:rsidRPr="009C17BC">
              <w:rPr>
                <w:rFonts w:cstheme="minorHAnsi"/>
                <w:noProof/>
                <w:webHidden/>
              </w:rPr>
              <w:tab/>
            </w:r>
            <w:r w:rsidR="00D00A7D" w:rsidRPr="009C17BC">
              <w:rPr>
                <w:rFonts w:cstheme="minorHAnsi"/>
                <w:noProof/>
                <w:webHidden/>
              </w:rPr>
              <w:fldChar w:fldCharType="begin"/>
            </w:r>
            <w:r w:rsidR="00D00A7D" w:rsidRPr="009C17BC">
              <w:rPr>
                <w:rFonts w:cstheme="minorHAnsi"/>
                <w:noProof/>
                <w:webHidden/>
              </w:rPr>
              <w:instrText xml:space="preserve"> PAGEREF _Toc147237465 \h </w:instrText>
            </w:r>
            <w:r w:rsidR="00D00A7D" w:rsidRPr="009C17BC">
              <w:rPr>
                <w:rFonts w:cstheme="minorHAnsi"/>
                <w:noProof/>
                <w:webHidden/>
              </w:rPr>
            </w:r>
            <w:r w:rsidR="00D00A7D" w:rsidRPr="009C17BC">
              <w:rPr>
                <w:rFonts w:cstheme="minorHAnsi"/>
                <w:noProof/>
                <w:webHidden/>
              </w:rPr>
              <w:fldChar w:fldCharType="separate"/>
            </w:r>
            <w:r w:rsidR="005974A7">
              <w:rPr>
                <w:rFonts w:cstheme="minorHAnsi"/>
                <w:noProof/>
                <w:webHidden/>
              </w:rPr>
              <w:t>4</w:t>
            </w:r>
            <w:r w:rsidR="00D00A7D" w:rsidRPr="009C17BC">
              <w:rPr>
                <w:rFonts w:cstheme="minorHAnsi"/>
                <w:noProof/>
                <w:webHidden/>
              </w:rPr>
              <w:fldChar w:fldCharType="end"/>
            </w:r>
          </w:hyperlink>
        </w:p>
        <w:p w14:paraId="3EED7290" w14:textId="17239B12" w:rsidR="00D00A7D" w:rsidRPr="009C17BC" w:rsidRDefault="000A73AD" w:rsidP="003336E1">
          <w:pPr>
            <w:pStyle w:val="TJ1"/>
            <w:jc w:val="both"/>
            <w:rPr>
              <w:rFonts w:cstheme="minorHAnsi"/>
              <w:noProof/>
              <w:kern w:val="2"/>
              <w:lang w:eastAsia="hu-HU"/>
              <w14:ligatures w14:val="standardContextual"/>
            </w:rPr>
          </w:pPr>
          <w:hyperlink w:anchor="_Toc147237466" w:history="1">
            <w:r w:rsidR="00D00A7D" w:rsidRPr="009C17BC">
              <w:rPr>
                <w:rStyle w:val="Hiperhivatkozs"/>
                <w:rFonts w:cstheme="minorHAnsi"/>
                <w:noProof/>
              </w:rPr>
              <w:t>2.</w:t>
            </w:r>
            <w:r w:rsidR="00D00A7D" w:rsidRPr="009C17BC">
              <w:rPr>
                <w:rFonts w:cstheme="minorHAnsi"/>
                <w:noProof/>
                <w:kern w:val="2"/>
                <w:lang w:eastAsia="hu-HU"/>
                <w14:ligatures w14:val="standardContextual"/>
              </w:rPr>
              <w:tab/>
            </w:r>
            <w:r w:rsidR="00D00A7D" w:rsidRPr="009C17BC">
              <w:rPr>
                <w:rStyle w:val="Hiperhivatkozs"/>
                <w:rFonts w:cstheme="minorHAnsi"/>
                <w:noProof/>
              </w:rPr>
              <w:t>Változások összefoglalása</w:t>
            </w:r>
            <w:r w:rsidR="00D00A7D" w:rsidRPr="009C17BC">
              <w:rPr>
                <w:rFonts w:cstheme="minorHAnsi"/>
                <w:noProof/>
                <w:webHidden/>
              </w:rPr>
              <w:tab/>
            </w:r>
            <w:r w:rsidR="00D00A7D" w:rsidRPr="009C17BC">
              <w:rPr>
                <w:rFonts w:cstheme="minorHAnsi"/>
                <w:noProof/>
                <w:webHidden/>
              </w:rPr>
              <w:fldChar w:fldCharType="begin"/>
            </w:r>
            <w:r w:rsidR="00D00A7D" w:rsidRPr="009C17BC">
              <w:rPr>
                <w:rFonts w:cstheme="minorHAnsi"/>
                <w:noProof/>
                <w:webHidden/>
              </w:rPr>
              <w:instrText xml:space="preserve"> PAGEREF _Toc147237466 \h </w:instrText>
            </w:r>
            <w:r w:rsidR="00D00A7D" w:rsidRPr="009C17BC">
              <w:rPr>
                <w:rFonts w:cstheme="minorHAnsi"/>
                <w:noProof/>
                <w:webHidden/>
              </w:rPr>
            </w:r>
            <w:r w:rsidR="00D00A7D" w:rsidRPr="009C17BC">
              <w:rPr>
                <w:rFonts w:cstheme="minorHAnsi"/>
                <w:noProof/>
                <w:webHidden/>
              </w:rPr>
              <w:fldChar w:fldCharType="separate"/>
            </w:r>
            <w:r w:rsidR="005974A7">
              <w:rPr>
                <w:rFonts w:cstheme="minorHAnsi"/>
                <w:noProof/>
                <w:webHidden/>
              </w:rPr>
              <w:t>4</w:t>
            </w:r>
            <w:r w:rsidR="00D00A7D" w:rsidRPr="009C17BC">
              <w:rPr>
                <w:rFonts w:cstheme="minorHAnsi"/>
                <w:noProof/>
                <w:webHidden/>
              </w:rPr>
              <w:fldChar w:fldCharType="end"/>
            </w:r>
          </w:hyperlink>
        </w:p>
        <w:p w14:paraId="3650C725" w14:textId="557A461A" w:rsidR="00D00A7D" w:rsidRPr="009C17BC" w:rsidRDefault="000A73AD" w:rsidP="003336E1">
          <w:pPr>
            <w:pStyle w:val="TJ1"/>
            <w:jc w:val="both"/>
            <w:rPr>
              <w:rFonts w:cstheme="minorHAnsi"/>
              <w:noProof/>
              <w:kern w:val="2"/>
              <w:lang w:eastAsia="hu-HU"/>
              <w14:ligatures w14:val="standardContextual"/>
            </w:rPr>
          </w:pPr>
          <w:hyperlink w:anchor="_Toc147237467" w:history="1">
            <w:r w:rsidR="00D00A7D" w:rsidRPr="009C17BC">
              <w:rPr>
                <w:rStyle w:val="Hiperhivatkozs"/>
                <w:rFonts w:cstheme="minorHAnsi"/>
                <w:noProof/>
              </w:rPr>
              <w:t>3.</w:t>
            </w:r>
            <w:r w:rsidR="00D00A7D" w:rsidRPr="009C17BC">
              <w:rPr>
                <w:rFonts w:cstheme="minorHAnsi"/>
                <w:noProof/>
                <w:kern w:val="2"/>
                <w:lang w:eastAsia="hu-HU"/>
                <w14:ligatures w14:val="standardContextual"/>
              </w:rPr>
              <w:tab/>
            </w:r>
            <w:r w:rsidR="00D00A7D" w:rsidRPr="009C17BC">
              <w:rPr>
                <w:rStyle w:val="Hiperhivatkozs"/>
                <w:rFonts w:cstheme="minorHAnsi"/>
                <w:noProof/>
              </w:rPr>
              <w:t>Szabályzat alanyi és tárgyi hatálya</w:t>
            </w:r>
            <w:r w:rsidR="00D00A7D" w:rsidRPr="009C17BC">
              <w:rPr>
                <w:rFonts w:cstheme="minorHAnsi"/>
                <w:noProof/>
                <w:webHidden/>
              </w:rPr>
              <w:tab/>
            </w:r>
            <w:r w:rsidR="00D00A7D" w:rsidRPr="009C17BC">
              <w:rPr>
                <w:rFonts w:cstheme="minorHAnsi"/>
                <w:noProof/>
                <w:webHidden/>
              </w:rPr>
              <w:fldChar w:fldCharType="begin"/>
            </w:r>
            <w:r w:rsidR="00D00A7D" w:rsidRPr="009C17BC">
              <w:rPr>
                <w:rFonts w:cstheme="minorHAnsi"/>
                <w:noProof/>
                <w:webHidden/>
              </w:rPr>
              <w:instrText xml:space="preserve"> PAGEREF _Toc147237467 \h </w:instrText>
            </w:r>
            <w:r w:rsidR="00D00A7D" w:rsidRPr="009C17BC">
              <w:rPr>
                <w:rFonts w:cstheme="minorHAnsi"/>
                <w:noProof/>
                <w:webHidden/>
              </w:rPr>
            </w:r>
            <w:r w:rsidR="00D00A7D" w:rsidRPr="009C17BC">
              <w:rPr>
                <w:rFonts w:cstheme="minorHAnsi"/>
                <w:noProof/>
                <w:webHidden/>
              </w:rPr>
              <w:fldChar w:fldCharType="separate"/>
            </w:r>
            <w:r w:rsidR="005974A7">
              <w:rPr>
                <w:rFonts w:cstheme="minorHAnsi"/>
                <w:noProof/>
                <w:webHidden/>
              </w:rPr>
              <w:t>5</w:t>
            </w:r>
            <w:r w:rsidR="00D00A7D" w:rsidRPr="009C17BC">
              <w:rPr>
                <w:rFonts w:cstheme="minorHAnsi"/>
                <w:noProof/>
                <w:webHidden/>
              </w:rPr>
              <w:fldChar w:fldCharType="end"/>
            </w:r>
          </w:hyperlink>
        </w:p>
        <w:p w14:paraId="53F49F32" w14:textId="0B8C004C" w:rsidR="00D00A7D" w:rsidRPr="009C17BC" w:rsidRDefault="000A73AD" w:rsidP="003336E1">
          <w:pPr>
            <w:pStyle w:val="TJ1"/>
            <w:jc w:val="both"/>
            <w:rPr>
              <w:rFonts w:cstheme="minorHAnsi"/>
              <w:noProof/>
              <w:kern w:val="2"/>
              <w:lang w:eastAsia="hu-HU"/>
              <w14:ligatures w14:val="standardContextual"/>
            </w:rPr>
          </w:pPr>
          <w:hyperlink w:anchor="_Toc147237468" w:history="1">
            <w:r w:rsidR="00D00A7D" w:rsidRPr="009C17BC">
              <w:rPr>
                <w:rStyle w:val="Hiperhivatkozs"/>
                <w:rFonts w:cstheme="minorHAnsi"/>
                <w:noProof/>
              </w:rPr>
              <w:t>4.</w:t>
            </w:r>
            <w:r w:rsidR="00D00A7D" w:rsidRPr="009C17BC">
              <w:rPr>
                <w:rFonts w:cstheme="minorHAnsi"/>
                <w:noProof/>
                <w:kern w:val="2"/>
                <w:lang w:eastAsia="hu-HU"/>
                <w14:ligatures w14:val="standardContextual"/>
              </w:rPr>
              <w:tab/>
            </w:r>
            <w:r w:rsidR="00D00A7D" w:rsidRPr="009C17BC">
              <w:rPr>
                <w:rStyle w:val="Hiperhivatkozs"/>
                <w:rFonts w:cstheme="minorHAnsi"/>
                <w:noProof/>
              </w:rPr>
              <w:t>Kapcsolódó jogszabályok, szabályzatok</w:t>
            </w:r>
            <w:r w:rsidR="00D00A7D" w:rsidRPr="009C17BC">
              <w:rPr>
                <w:rFonts w:cstheme="minorHAnsi"/>
                <w:noProof/>
                <w:webHidden/>
              </w:rPr>
              <w:tab/>
            </w:r>
            <w:r w:rsidR="00D00A7D" w:rsidRPr="009C17BC">
              <w:rPr>
                <w:rFonts w:cstheme="minorHAnsi"/>
                <w:noProof/>
                <w:webHidden/>
              </w:rPr>
              <w:fldChar w:fldCharType="begin"/>
            </w:r>
            <w:r w:rsidR="00D00A7D" w:rsidRPr="009C17BC">
              <w:rPr>
                <w:rFonts w:cstheme="minorHAnsi"/>
                <w:noProof/>
                <w:webHidden/>
              </w:rPr>
              <w:instrText xml:space="preserve"> PAGEREF _Toc147237468 \h </w:instrText>
            </w:r>
            <w:r w:rsidR="00D00A7D" w:rsidRPr="009C17BC">
              <w:rPr>
                <w:rFonts w:cstheme="minorHAnsi"/>
                <w:noProof/>
                <w:webHidden/>
              </w:rPr>
            </w:r>
            <w:r w:rsidR="00D00A7D" w:rsidRPr="009C17BC">
              <w:rPr>
                <w:rFonts w:cstheme="minorHAnsi"/>
                <w:noProof/>
                <w:webHidden/>
              </w:rPr>
              <w:fldChar w:fldCharType="separate"/>
            </w:r>
            <w:r w:rsidR="005974A7">
              <w:rPr>
                <w:rFonts w:cstheme="minorHAnsi"/>
                <w:noProof/>
                <w:webHidden/>
              </w:rPr>
              <w:t>7</w:t>
            </w:r>
            <w:r w:rsidR="00D00A7D" w:rsidRPr="009C17BC">
              <w:rPr>
                <w:rFonts w:cstheme="minorHAnsi"/>
                <w:noProof/>
                <w:webHidden/>
              </w:rPr>
              <w:fldChar w:fldCharType="end"/>
            </w:r>
          </w:hyperlink>
        </w:p>
        <w:p w14:paraId="6A8C2950" w14:textId="711B5033" w:rsidR="00D00A7D" w:rsidRPr="009C17BC" w:rsidRDefault="000A73AD" w:rsidP="003336E1">
          <w:pPr>
            <w:pStyle w:val="TJ1"/>
            <w:jc w:val="both"/>
            <w:rPr>
              <w:rFonts w:cstheme="minorHAnsi"/>
              <w:noProof/>
              <w:kern w:val="2"/>
              <w:lang w:eastAsia="hu-HU"/>
              <w14:ligatures w14:val="standardContextual"/>
            </w:rPr>
          </w:pPr>
          <w:hyperlink w:anchor="_Toc147237469" w:history="1">
            <w:r w:rsidR="00D00A7D" w:rsidRPr="009C17BC">
              <w:rPr>
                <w:rStyle w:val="Hiperhivatkozs"/>
                <w:rFonts w:cstheme="minorHAnsi"/>
                <w:noProof/>
              </w:rPr>
              <w:t>5.</w:t>
            </w:r>
            <w:r w:rsidR="00D00A7D" w:rsidRPr="009C17BC">
              <w:rPr>
                <w:rFonts w:cstheme="minorHAnsi"/>
                <w:noProof/>
                <w:kern w:val="2"/>
                <w:lang w:eastAsia="hu-HU"/>
                <w14:ligatures w14:val="standardContextual"/>
              </w:rPr>
              <w:tab/>
            </w:r>
            <w:r w:rsidR="00D00A7D" w:rsidRPr="009C17BC">
              <w:rPr>
                <w:rStyle w:val="Hiperhivatkozs"/>
                <w:rFonts w:cstheme="minorHAnsi"/>
                <w:noProof/>
              </w:rPr>
              <w:t>Általános szabályok, alapelvek</w:t>
            </w:r>
            <w:r w:rsidR="00D00A7D" w:rsidRPr="009C17BC">
              <w:rPr>
                <w:rFonts w:cstheme="minorHAnsi"/>
                <w:noProof/>
                <w:webHidden/>
              </w:rPr>
              <w:tab/>
            </w:r>
            <w:r w:rsidR="00D00A7D" w:rsidRPr="009C17BC">
              <w:rPr>
                <w:rFonts w:cstheme="minorHAnsi"/>
                <w:noProof/>
                <w:webHidden/>
              </w:rPr>
              <w:fldChar w:fldCharType="begin"/>
            </w:r>
            <w:r w:rsidR="00D00A7D" w:rsidRPr="009C17BC">
              <w:rPr>
                <w:rFonts w:cstheme="minorHAnsi"/>
                <w:noProof/>
                <w:webHidden/>
              </w:rPr>
              <w:instrText xml:space="preserve"> PAGEREF _Toc147237469 \h </w:instrText>
            </w:r>
            <w:r w:rsidR="00D00A7D" w:rsidRPr="009C17BC">
              <w:rPr>
                <w:rFonts w:cstheme="minorHAnsi"/>
                <w:noProof/>
                <w:webHidden/>
              </w:rPr>
            </w:r>
            <w:r w:rsidR="00D00A7D" w:rsidRPr="009C17BC">
              <w:rPr>
                <w:rFonts w:cstheme="minorHAnsi"/>
                <w:noProof/>
                <w:webHidden/>
              </w:rPr>
              <w:fldChar w:fldCharType="separate"/>
            </w:r>
            <w:r w:rsidR="005974A7">
              <w:rPr>
                <w:rFonts w:cstheme="minorHAnsi"/>
                <w:noProof/>
                <w:webHidden/>
              </w:rPr>
              <w:t>8</w:t>
            </w:r>
            <w:r w:rsidR="00D00A7D" w:rsidRPr="009C17BC">
              <w:rPr>
                <w:rFonts w:cstheme="minorHAnsi"/>
                <w:noProof/>
                <w:webHidden/>
              </w:rPr>
              <w:fldChar w:fldCharType="end"/>
            </w:r>
          </w:hyperlink>
        </w:p>
        <w:p w14:paraId="1E19CE56" w14:textId="27DBDA34" w:rsidR="00D00A7D" w:rsidRPr="009C17BC" w:rsidRDefault="000A73AD" w:rsidP="003336E1">
          <w:pPr>
            <w:pStyle w:val="TJ2"/>
            <w:tabs>
              <w:tab w:val="right" w:leader="dot" w:pos="9062"/>
            </w:tabs>
            <w:rPr>
              <w:rFonts w:eastAsiaTheme="minorEastAsia"/>
              <w:noProof/>
              <w:kern w:val="2"/>
              <w:szCs w:val="22"/>
              <w:lang w:eastAsia="hu-HU"/>
              <w14:ligatures w14:val="standardContextual"/>
            </w:rPr>
          </w:pPr>
          <w:hyperlink w:anchor="_Toc147237470" w:history="1">
            <w:r w:rsidR="00D00A7D" w:rsidRPr="009C17BC">
              <w:rPr>
                <w:rStyle w:val="Hiperhivatkozs"/>
                <w:rFonts w:eastAsiaTheme="majorEastAsia" w:cstheme="minorHAnsi"/>
                <w:noProof/>
                <w:szCs w:val="22"/>
              </w:rPr>
              <w:t>5.1 Fogalmak</w:t>
            </w:r>
            <w:r w:rsidR="00D00A7D" w:rsidRPr="009C17BC">
              <w:rPr>
                <w:noProof/>
                <w:webHidden/>
                <w:szCs w:val="22"/>
              </w:rPr>
              <w:tab/>
            </w:r>
            <w:r w:rsidR="00D00A7D" w:rsidRPr="009C17BC">
              <w:rPr>
                <w:noProof/>
                <w:webHidden/>
                <w:szCs w:val="22"/>
              </w:rPr>
              <w:fldChar w:fldCharType="begin"/>
            </w:r>
            <w:r w:rsidR="00D00A7D" w:rsidRPr="009C17BC">
              <w:rPr>
                <w:noProof/>
                <w:webHidden/>
                <w:szCs w:val="22"/>
              </w:rPr>
              <w:instrText xml:space="preserve"> PAGEREF _Toc147237470 \h </w:instrText>
            </w:r>
            <w:r w:rsidR="00D00A7D" w:rsidRPr="009C17BC">
              <w:rPr>
                <w:noProof/>
                <w:webHidden/>
                <w:szCs w:val="22"/>
              </w:rPr>
            </w:r>
            <w:r w:rsidR="00D00A7D" w:rsidRPr="009C17BC">
              <w:rPr>
                <w:noProof/>
                <w:webHidden/>
                <w:szCs w:val="22"/>
              </w:rPr>
              <w:fldChar w:fldCharType="separate"/>
            </w:r>
            <w:r w:rsidR="005974A7">
              <w:rPr>
                <w:noProof/>
                <w:webHidden/>
                <w:szCs w:val="22"/>
              </w:rPr>
              <w:t>9</w:t>
            </w:r>
            <w:r w:rsidR="00D00A7D" w:rsidRPr="009C17BC">
              <w:rPr>
                <w:noProof/>
                <w:webHidden/>
                <w:szCs w:val="22"/>
              </w:rPr>
              <w:fldChar w:fldCharType="end"/>
            </w:r>
          </w:hyperlink>
        </w:p>
        <w:p w14:paraId="23C5615A" w14:textId="40D0554A" w:rsidR="00D00A7D" w:rsidRPr="009C17BC" w:rsidRDefault="000A73AD" w:rsidP="003336E1">
          <w:pPr>
            <w:pStyle w:val="TJ3"/>
            <w:jc w:val="both"/>
            <w:rPr>
              <w:rFonts w:cstheme="minorHAnsi"/>
              <w:noProof/>
              <w:kern w:val="2"/>
              <w:lang w:eastAsia="hu-HU"/>
              <w14:ligatures w14:val="standardContextual"/>
            </w:rPr>
          </w:pPr>
          <w:hyperlink w:anchor="_Toc147237472" w:history="1">
            <w:r w:rsidR="00D00A7D" w:rsidRPr="009C17BC">
              <w:rPr>
                <w:rStyle w:val="Hiperhivatkozs"/>
                <w:rFonts w:cstheme="minorHAnsi"/>
                <w:noProof/>
              </w:rPr>
              <w:t>5.2.</w:t>
            </w:r>
            <w:r w:rsidR="00D00A7D" w:rsidRPr="009C17BC">
              <w:rPr>
                <w:rFonts w:cstheme="minorHAnsi"/>
                <w:noProof/>
                <w:kern w:val="2"/>
                <w:lang w:eastAsia="hu-HU"/>
                <w14:ligatures w14:val="standardContextual"/>
              </w:rPr>
              <w:tab/>
            </w:r>
            <w:r w:rsidR="00D00A7D" w:rsidRPr="009C17BC">
              <w:rPr>
                <w:rStyle w:val="Hiperhivatkozs"/>
                <w:rFonts w:cstheme="minorHAnsi"/>
                <w:noProof/>
              </w:rPr>
              <w:t>Szabályzat részletezése</w:t>
            </w:r>
            <w:r w:rsidR="00D00A7D" w:rsidRPr="009C17BC">
              <w:rPr>
                <w:rFonts w:cstheme="minorHAnsi"/>
                <w:noProof/>
                <w:webHidden/>
              </w:rPr>
              <w:tab/>
            </w:r>
            <w:r w:rsidR="00D00A7D" w:rsidRPr="009C17BC">
              <w:rPr>
                <w:rFonts w:cstheme="minorHAnsi"/>
                <w:noProof/>
                <w:webHidden/>
              </w:rPr>
              <w:fldChar w:fldCharType="begin"/>
            </w:r>
            <w:r w:rsidR="00D00A7D" w:rsidRPr="009C17BC">
              <w:rPr>
                <w:rFonts w:cstheme="minorHAnsi"/>
                <w:noProof/>
                <w:webHidden/>
              </w:rPr>
              <w:instrText xml:space="preserve"> PAGEREF _Toc147237472 \h </w:instrText>
            </w:r>
            <w:r w:rsidR="00D00A7D" w:rsidRPr="009C17BC">
              <w:rPr>
                <w:rFonts w:cstheme="minorHAnsi"/>
                <w:noProof/>
                <w:webHidden/>
              </w:rPr>
            </w:r>
            <w:r w:rsidR="00D00A7D" w:rsidRPr="009C17BC">
              <w:rPr>
                <w:rFonts w:cstheme="minorHAnsi"/>
                <w:noProof/>
                <w:webHidden/>
              </w:rPr>
              <w:fldChar w:fldCharType="separate"/>
            </w:r>
            <w:r w:rsidR="005974A7">
              <w:rPr>
                <w:rFonts w:cstheme="minorHAnsi"/>
                <w:noProof/>
                <w:webHidden/>
              </w:rPr>
              <w:t>9</w:t>
            </w:r>
            <w:r w:rsidR="00D00A7D" w:rsidRPr="009C17BC">
              <w:rPr>
                <w:rFonts w:cstheme="minorHAnsi"/>
                <w:noProof/>
                <w:webHidden/>
              </w:rPr>
              <w:fldChar w:fldCharType="end"/>
            </w:r>
          </w:hyperlink>
        </w:p>
        <w:p w14:paraId="663470FE" w14:textId="1F91C394" w:rsidR="00D00A7D" w:rsidRPr="009C17BC" w:rsidRDefault="000A73AD" w:rsidP="003336E1">
          <w:pPr>
            <w:pStyle w:val="TJ1"/>
            <w:jc w:val="both"/>
            <w:rPr>
              <w:rFonts w:cstheme="minorHAnsi"/>
              <w:noProof/>
              <w:kern w:val="2"/>
              <w:lang w:eastAsia="hu-HU"/>
              <w14:ligatures w14:val="standardContextual"/>
            </w:rPr>
          </w:pPr>
          <w:hyperlink w:anchor="_Toc147237473" w:history="1">
            <w:r w:rsidR="00D00A7D" w:rsidRPr="009C17BC">
              <w:rPr>
                <w:rStyle w:val="Hiperhivatkozs"/>
                <w:rFonts w:cstheme="minorHAnsi"/>
                <w:noProof/>
              </w:rPr>
              <w:t>5.2.1.</w:t>
            </w:r>
            <w:r w:rsidR="00D00A7D" w:rsidRPr="009C17BC">
              <w:rPr>
                <w:rFonts w:cstheme="minorHAnsi"/>
                <w:noProof/>
                <w:kern w:val="2"/>
                <w:lang w:eastAsia="hu-HU"/>
                <w14:ligatures w14:val="standardContextual"/>
              </w:rPr>
              <w:tab/>
            </w:r>
            <w:r w:rsidR="00D00A7D" w:rsidRPr="009C17BC">
              <w:rPr>
                <w:rStyle w:val="Hiperhivatkozs"/>
                <w:rFonts w:cstheme="minorHAnsi"/>
                <w:noProof/>
              </w:rPr>
              <w:t>A javadalmazás típusai</w:t>
            </w:r>
            <w:r w:rsidR="00D00A7D" w:rsidRPr="009C17BC">
              <w:rPr>
                <w:rFonts w:cstheme="minorHAnsi"/>
                <w:noProof/>
                <w:webHidden/>
              </w:rPr>
              <w:tab/>
            </w:r>
            <w:r w:rsidR="00D00A7D" w:rsidRPr="009C17BC">
              <w:rPr>
                <w:rFonts w:cstheme="minorHAnsi"/>
                <w:noProof/>
                <w:webHidden/>
              </w:rPr>
              <w:fldChar w:fldCharType="begin"/>
            </w:r>
            <w:r w:rsidR="00D00A7D" w:rsidRPr="009C17BC">
              <w:rPr>
                <w:rFonts w:cstheme="minorHAnsi"/>
                <w:noProof/>
                <w:webHidden/>
              </w:rPr>
              <w:instrText xml:space="preserve"> PAGEREF _Toc147237473 \h </w:instrText>
            </w:r>
            <w:r w:rsidR="00D00A7D" w:rsidRPr="009C17BC">
              <w:rPr>
                <w:rFonts w:cstheme="minorHAnsi"/>
                <w:noProof/>
                <w:webHidden/>
              </w:rPr>
            </w:r>
            <w:r w:rsidR="00D00A7D" w:rsidRPr="009C17BC">
              <w:rPr>
                <w:rFonts w:cstheme="minorHAnsi"/>
                <w:noProof/>
                <w:webHidden/>
              </w:rPr>
              <w:fldChar w:fldCharType="separate"/>
            </w:r>
            <w:r w:rsidR="005974A7">
              <w:rPr>
                <w:rFonts w:cstheme="minorHAnsi"/>
                <w:noProof/>
                <w:webHidden/>
              </w:rPr>
              <w:t>9</w:t>
            </w:r>
            <w:r w:rsidR="00D00A7D" w:rsidRPr="009C17BC">
              <w:rPr>
                <w:rFonts w:cstheme="minorHAnsi"/>
                <w:noProof/>
                <w:webHidden/>
              </w:rPr>
              <w:fldChar w:fldCharType="end"/>
            </w:r>
          </w:hyperlink>
        </w:p>
        <w:p w14:paraId="0CA9792A" w14:textId="08460C0D" w:rsidR="00D00A7D" w:rsidRPr="009C17BC" w:rsidRDefault="000A73AD" w:rsidP="003336E1">
          <w:pPr>
            <w:pStyle w:val="TJ1"/>
            <w:jc w:val="both"/>
            <w:rPr>
              <w:rFonts w:cstheme="minorHAnsi"/>
              <w:noProof/>
              <w:kern w:val="2"/>
              <w:lang w:eastAsia="hu-HU"/>
              <w14:ligatures w14:val="standardContextual"/>
            </w:rPr>
          </w:pPr>
          <w:hyperlink w:anchor="_Toc147237479" w:history="1">
            <w:r w:rsidR="00D00A7D" w:rsidRPr="009C17BC">
              <w:rPr>
                <w:rStyle w:val="Hiperhivatkozs"/>
                <w:rFonts w:cstheme="minorHAnsi"/>
                <w:noProof/>
              </w:rPr>
              <w:t>5.2.2.</w:t>
            </w:r>
            <w:r w:rsidR="00D00A7D" w:rsidRPr="009C17BC">
              <w:rPr>
                <w:rFonts w:cstheme="minorHAnsi"/>
                <w:noProof/>
                <w:kern w:val="2"/>
                <w:lang w:eastAsia="hu-HU"/>
                <w14:ligatures w14:val="standardContextual"/>
              </w:rPr>
              <w:tab/>
            </w:r>
            <w:r w:rsidR="00D00A7D" w:rsidRPr="009C17BC">
              <w:rPr>
                <w:rStyle w:val="Hiperhivatkozs"/>
                <w:rFonts w:cstheme="minorHAnsi"/>
                <w:noProof/>
              </w:rPr>
              <w:t>Teljesítményértékelési és célkitűzési rendszer</w:t>
            </w:r>
            <w:r w:rsidR="00D00A7D" w:rsidRPr="009C17BC">
              <w:rPr>
                <w:rFonts w:cstheme="minorHAnsi"/>
                <w:noProof/>
                <w:webHidden/>
              </w:rPr>
              <w:tab/>
            </w:r>
            <w:r w:rsidR="00D00A7D" w:rsidRPr="009C17BC">
              <w:rPr>
                <w:rFonts w:cstheme="minorHAnsi"/>
                <w:noProof/>
                <w:webHidden/>
              </w:rPr>
              <w:fldChar w:fldCharType="begin"/>
            </w:r>
            <w:r w:rsidR="00D00A7D" w:rsidRPr="009C17BC">
              <w:rPr>
                <w:rFonts w:cstheme="minorHAnsi"/>
                <w:noProof/>
                <w:webHidden/>
              </w:rPr>
              <w:instrText xml:space="preserve"> PAGEREF _Toc147237479 \h </w:instrText>
            </w:r>
            <w:r w:rsidR="00D00A7D" w:rsidRPr="009C17BC">
              <w:rPr>
                <w:rFonts w:cstheme="minorHAnsi"/>
                <w:noProof/>
                <w:webHidden/>
              </w:rPr>
            </w:r>
            <w:r w:rsidR="00D00A7D" w:rsidRPr="009C17BC">
              <w:rPr>
                <w:rFonts w:cstheme="minorHAnsi"/>
                <w:noProof/>
                <w:webHidden/>
              </w:rPr>
              <w:fldChar w:fldCharType="separate"/>
            </w:r>
            <w:r w:rsidR="005974A7">
              <w:rPr>
                <w:rFonts w:cstheme="minorHAnsi"/>
                <w:noProof/>
                <w:webHidden/>
              </w:rPr>
              <w:t>13</w:t>
            </w:r>
            <w:r w:rsidR="00D00A7D" w:rsidRPr="009C17BC">
              <w:rPr>
                <w:rFonts w:cstheme="minorHAnsi"/>
                <w:noProof/>
                <w:webHidden/>
              </w:rPr>
              <w:fldChar w:fldCharType="end"/>
            </w:r>
          </w:hyperlink>
        </w:p>
        <w:p w14:paraId="46792E25" w14:textId="472B0196" w:rsidR="00D00A7D" w:rsidRPr="009C17BC" w:rsidRDefault="000A73AD" w:rsidP="003336E1">
          <w:pPr>
            <w:pStyle w:val="TJ1"/>
            <w:jc w:val="both"/>
            <w:rPr>
              <w:rFonts w:cstheme="minorHAnsi"/>
              <w:noProof/>
              <w:kern w:val="2"/>
              <w:lang w:eastAsia="hu-HU"/>
              <w14:ligatures w14:val="standardContextual"/>
            </w:rPr>
          </w:pPr>
          <w:hyperlink w:anchor="_Toc147237482" w:history="1">
            <w:r w:rsidR="00D00A7D" w:rsidRPr="009C17BC">
              <w:rPr>
                <w:rStyle w:val="Hiperhivatkozs"/>
                <w:rFonts w:cstheme="minorHAnsi"/>
                <w:noProof/>
              </w:rPr>
              <w:t>5.2.3.</w:t>
            </w:r>
            <w:r w:rsidR="00D00A7D" w:rsidRPr="009C17BC">
              <w:rPr>
                <w:rFonts w:cstheme="minorHAnsi"/>
                <w:noProof/>
                <w:kern w:val="2"/>
                <w:lang w:eastAsia="hu-HU"/>
                <w14:ligatures w14:val="standardContextual"/>
              </w:rPr>
              <w:tab/>
            </w:r>
            <w:r w:rsidR="00D00A7D" w:rsidRPr="009C17BC">
              <w:rPr>
                <w:rStyle w:val="Hiperhivatkozs"/>
                <w:rFonts w:cstheme="minorHAnsi"/>
                <w:noProof/>
              </w:rPr>
              <w:t>Visszakövetelési szabályok és a halasztott kifizetés</w:t>
            </w:r>
            <w:r w:rsidR="00D00A7D" w:rsidRPr="009C17BC">
              <w:rPr>
                <w:rFonts w:cstheme="minorHAnsi"/>
                <w:noProof/>
                <w:webHidden/>
              </w:rPr>
              <w:tab/>
            </w:r>
            <w:r w:rsidR="00D00A7D" w:rsidRPr="009C17BC">
              <w:rPr>
                <w:rFonts w:cstheme="minorHAnsi"/>
                <w:noProof/>
                <w:webHidden/>
              </w:rPr>
              <w:fldChar w:fldCharType="begin"/>
            </w:r>
            <w:r w:rsidR="00D00A7D" w:rsidRPr="009C17BC">
              <w:rPr>
                <w:rFonts w:cstheme="minorHAnsi"/>
                <w:noProof/>
                <w:webHidden/>
              </w:rPr>
              <w:instrText xml:space="preserve"> PAGEREF _Toc147237482 \h </w:instrText>
            </w:r>
            <w:r w:rsidR="00D00A7D" w:rsidRPr="009C17BC">
              <w:rPr>
                <w:rFonts w:cstheme="minorHAnsi"/>
                <w:noProof/>
                <w:webHidden/>
              </w:rPr>
            </w:r>
            <w:r w:rsidR="00D00A7D" w:rsidRPr="009C17BC">
              <w:rPr>
                <w:rFonts w:cstheme="minorHAnsi"/>
                <w:noProof/>
                <w:webHidden/>
              </w:rPr>
              <w:fldChar w:fldCharType="separate"/>
            </w:r>
            <w:r w:rsidR="005974A7">
              <w:rPr>
                <w:rFonts w:cstheme="minorHAnsi"/>
                <w:noProof/>
                <w:webHidden/>
              </w:rPr>
              <w:t>16</w:t>
            </w:r>
            <w:r w:rsidR="00D00A7D" w:rsidRPr="009C17BC">
              <w:rPr>
                <w:rFonts w:cstheme="minorHAnsi"/>
                <w:noProof/>
                <w:webHidden/>
              </w:rPr>
              <w:fldChar w:fldCharType="end"/>
            </w:r>
          </w:hyperlink>
        </w:p>
        <w:p w14:paraId="31EC1703" w14:textId="140A9C84" w:rsidR="00D00A7D" w:rsidRPr="009C17BC" w:rsidRDefault="000A73AD" w:rsidP="003336E1">
          <w:pPr>
            <w:pStyle w:val="TJ1"/>
            <w:jc w:val="both"/>
            <w:rPr>
              <w:rFonts w:cstheme="minorHAnsi"/>
              <w:noProof/>
              <w:kern w:val="2"/>
              <w:lang w:eastAsia="hu-HU"/>
              <w14:ligatures w14:val="standardContextual"/>
            </w:rPr>
          </w:pPr>
          <w:hyperlink w:anchor="_Toc147237483" w:history="1">
            <w:r w:rsidR="00D00A7D" w:rsidRPr="009C17BC">
              <w:rPr>
                <w:rStyle w:val="Hiperhivatkozs"/>
                <w:rFonts w:cstheme="minorHAnsi"/>
                <w:noProof/>
              </w:rPr>
              <w:t>5.2.4.</w:t>
            </w:r>
            <w:r w:rsidR="00D00A7D" w:rsidRPr="009C17BC">
              <w:rPr>
                <w:rFonts w:cstheme="minorHAnsi"/>
                <w:noProof/>
                <w:kern w:val="2"/>
                <w:lang w:eastAsia="hu-HU"/>
                <w14:ligatures w14:val="standardContextual"/>
              </w:rPr>
              <w:tab/>
            </w:r>
            <w:r w:rsidR="00D00A7D" w:rsidRPr="009C17BC">
              <w:rPr>
                <w:rStyle w:val="Hiperhivatkozs"/>
                <w:rFonts w:cstheme="minorHAnsi"/>
                <w:noProof/>
              </w:rPr>
              <w:t>Munkaviszony létesítése, munkáltatói jog gyakorlója, munkaviszony megszűntetés esetén járó juttatások</w:t>
            </w:r>
            <w:r w:rsidR="00D00A7D" w:rsidRPr="009C17BC">
              <w:rPr>
                <w:rFonts w:cstheme="minorHAnsi"/>
                <w:noProof/>
                <w:webHidden/>
              </w:rPr>
              <w:tab/>
            </w:r>
            <w:r w:rsidR="00D00A7D" w:rsidRPr="009C17BC">
              <w:rPr>
                <w:rFonts w:cstheme="minorHAnsi"/>
                <w:noProof/>
                <w:webHidden/>
              </w:rPr>
              <w:fldChar w:fldCharType="begin"/>
            </w:r>
            <w:r w:rsidR="00D00A7D" w:rsidRPr="009C17BC">
              <w:rPr>
                <w:rFonts w:cstheme="minorHAnsi"/>
                <w:noProof/>
                <w:webHidden/>
              </w:rPr>
              <w:instrText xml:space="preserve"> PAGEREF _Toc147237483 \h </w:instrText>
            </w:r>
            <w:r w:rsidR="00D00A7D" w:rsidRPr="009C17BC">
              <w:rPr>
                <w:rFonts w:cstheme="minorHAnsi"/>
                <w:noProof/>
                <w:webHidden/>
              </w:rPr>
            </w:r>
            <w:r w:rsidR="00D00A7D" w:rsidRPr="009C17BC">
              <w:rPr>
                <w:rFonts w:cstheme="minorHAnsi"/>
                <w:noProof/>
                <w:webHidden/>
              </w:rPr>
              <w:fldChar w:fldCharType="separate"/>
            </w:r>
            <w:r w:rsidR="005974A7">
              <w:rPr>
                <w:rFonts w:cstheme="minorHAnsi"/>
                <w:noProof/>
                <w:webHidden/>
              </w:rPr>
              <w:t>18</w:t>
            </w:r>
            <w:r w:rsidR="00D00A7D" w:rsidRPr="009C17BC">
              <w:rPr>
                <w:rFonts w:cstheme="minorHAnsi"/>
                <w:noProof/>
                <w:webHidden/>
              </w:rPr>
              <w:fldChar w:fldCharType="end"/>
            </w:r>
          </w:hyperlink>
        </w:p>
        <w:p w14:paraId="493B9233" w14:textId="3DCEF715" w:rsidR="00D00A7D" w:rsidRPr="009C17BC" w:rsidRDefault="000A73AD" w:rsidP="003336E1">
          <w:pPr>
            <w:pStyle w:val="TJ1"/>
            <w:jc w:val="both"/>
            <w:rPr>
              <w:rFonts w:cstheme="minorHAnsi"/>
              <w:noProof/>
              <w:kern w:val="2"/>
              <w:lang w:eastAsia="hu-HU"/>
              <w14:ligatures w14:val="standardContextual"/>
            </w:rPr>
          </w:pPr>
          <w:hyperlink w:anchor="_Toc147237484" w:history="1">
            <w:r w:rsidR="00D00A7D" w:rsidRPr="009C17BC">
              <w:rPr>
                <w:rStyle w:val="Hiperhivatkozs"/>
                <w:rFonts w:cstheme="minorHAnsi"/>
                <w:noProof/>
              </w:rPr>
              <w:t>5.2.5.</w:t>
            </w:r>
            <w:r w:rsidR="00D00A7D" w:rsidRPr="009C17BC">
              <w:rPr>
                <w:rFonts w:cstheme="minorHAnsi"/>
                <w:noProof/>
                <w:kern w:val="2"/>
                <w:lang w:eastAsia="hu-HU"/>
                <w14:ligatures w14:val="standardContextual"/>
              </w:rPr>
              <w:tab/>
            </w:r>
            <w:r w:rsidR="00D00A7D" w:rsidRPr="009C17BC">
              <w:rPr>
                <w:rStyle w:val="Hiperhivatkozs"/>
                <w:rFonts w:cstheme="minorHAnsi"/>
                <w:noProof/>
              </w:rPr>
              <w:t>A javadalmazási Politika közzététele</w:t>
            </w:r>
            <w:r w:rsidR="00D00A7D" w:rsidRPr="009C17BC">
              <w:rPr>
                <w:rFonts w:cstheme="minorHAnsi"/>
                <w:noProof/>
                <w:webHidden/>
              </w:rPr>
              <w:tab/>
            </w:r>
            <w:r w:rsidR="00D00A7D" w:rsidRPr="009C17BC">
              <w:rPr>
                <w:rFonts w:cstheme="minorHAnsi"/>
                <w:noProof/>
                <w:webHidden/>
              </w:rPr>
              <w:fldChar w:fldCharType="begin"/>
            </w:r>
            <w:r w:rsidR="00D00A7D" w:rsidRPr="009C17BC">
              <w:rPr>
                <w:rFonts w:cstheme="minorHAnsi"/>
                <w:noProof/>
                <w:webHidden/>
              </w:rPr>
              <w:instrText xml:space="preserve"> PAGEREF _Toc147237484 \h </w:instrText>
            </w:r>
            <w:r w:rsidR="00D00A7D" w:rsidRPr="009C17BC">
              <w:rPr>
                <w:rFonts w:cstheme="minorHAnsi"/>
                <w:noProof/>
                <w:webHidden/>
              </w:rPr>
            </w:r>
            <w:r w:rsidR="00D00A7D" w:rsidRPr="009C17BC">
              <w:rPr>
                <w:rFonts w:cstheme="minorHAnsi"/>
                <w:noProof/>
                <w:webHidden/>
              </w:rPr>
              <w:fldChar w:fldCharType="separate"/>
            </w:r>
            <w:r w:rsidR="005974A7">
              <w:rPr>
                <w:rFonts w:cstheme="minorHAnsi"/>
                <w:noProof/>
                <w:webHidden/>
              </w:rPr>
              <w:t>18</w:t>
            </w:r>
            <w:r w:rsidR="00D00A7D" w:rsidRPr="009C17BC">
              <w:rPr>
                <w:rFonts w:cstheme="minorHAnsi"/>
                <w:noProof/>
                <w:webHidden/>
              </w:rPr>
              <w:fldChar w:fldCharType="end"/>
            </w:r>
          </w:hyperlink>
        </w:p>
        <w:p w14:paraId="0D648CA4" w14:textId="6AEE72EC" w:rsidR="00D00A7D" w:rsidRPr="009C17BC" w:rsidRDefault="000A73AD" w:rsidP="003336E1">
          <w:pPr>
            <w:pStyle w:val="TJ1"/>
            <w:jc w:val="both"/>
            <w:rPr>
              <w:rFonts w:cstheme="minorHAnsi"/>
              <w:noProof/>
              <w:kern w:val="2"/>
              <w:lang w:eastAsia="hu-HU"/>
              <w14:ligatures w14:val="standardContextual"/>
            </w:rPr>
          </w:pPr>
          <w:hyperlink w:anchor="_Toc147237485" w:history="1">
            <w:r w:rsidR="00D00A7D" w:rsidRPr="009C17BC">
              <w:rPr>
                <w:rStyle w:val="Hiperhivatkozs"/>
                <w:rFonts w:cstheme="minorHAnsi"/>
                <w:noProof/>
              </w:rPr>
              <w:t>5.2.6.</w:t>
            </w:r>
            <w:r w:rsidR="00D00A7D" w:rsidRPr="009C17BC">
              <w:rPr>
                <w:rFonts w:cstheme="minorHAnsi"/>
                <w:noProof/>
                <w:kern w:val="2"/>
                <w:lang w:eastAsia="hu-HU"/>
                <w14:ligatures w14:val="standardContextual"/>
              </w:rPr>
              <w:tab/>
            </w:r>
            <w:r w:rsidR="00D00A7D" w:rsidRPr="009C17BC">
              <w:rPr>
                <w:rStyle w:val="Hiperhivatkozs"/>
                <w:rFonts w:cstheme="minorHAnsi"/>
                <w:noProof/>
              </w:rPr>
              <w:t>A Javadalmazási Politika ellenőrzése és felülvizsgálata</w:t>
            </w:r>
            <w:r w:rsidR="00D00A7D" w:rsidRPr="009C17BC">
              <w:rPr>
                <w:rFonts w:cstheme="minorHAnsi"/>
                <w:noProof/>
                <w:webHidden/>
              </w:rPr>
              <w:tab/>
            </w:r>
            <w:r w:rsidR="00D00A7D" w:rsidRPr="009C17BC">
              <w:rPr>
                <w:rFonts w:cstheme="minorHAnsi"/>
                <w:noProof/>
                <w:webHidden/>
              </w:rPr>
              <w:fldChar w:fldCharType="begin"/>
            </w:r>
            <w:r w:rsidR="00D00A7D" w:rsidRPr="009C17BC">
              <w:rPr>
                <w:rFonts w:cstheme="minorHAnsi"/>
                <w:noProof/>
                <w:webHidden/>
              </w:rPr>
              <w:instrText xml:space="preserve"> PAGEREF _Toc147237485 \h </w:instrText>
            </w:r>
            <w:r w:rsidR="00D00A7D" w:rsidRPr="009C17BC">
              <w:rPr>
                <w:rFonts w:cstheme="minorHAnsi"/>
                <w:noProof/>
                <w:webHidden/>
              </w:rPr>
            </w:r>
            <w:r w:rsidR="00D00A7D" w:rsidRPr="009C17BC">
              <w:rPr>
                <w:rFonts w:cstheme="minorHAnsi"/>
                <w:noProof/>
                <w:webHidden/>
              </w:rPr>
              <w:fldChar w:fldCharType="separate"/>
            </w:r>
            <w:r w:rsidR="005974A7">
              <w:rPr>
                <w:rFonts w:cstheme="minorHAnsi"/>
                <w:noProof/>
                <w:webHidden/>
              </w:rPr>
              <w:t>18</w:t>
            </w:r>
            <w:r w:rsidR="00D00A7D" w:rsidRPr="009C17BC">
              <w:rPr>
                <w:rFonts w:cstheme="minorHAnsi"/>
                <w:noProof/>
                <w:webHidden/>
              </w:rPr>
              <w:fldChar w:fldCharType="end"/>
            </w:r>
          </w:hyperlink>
        </w:p>
        <w:p w14:paraId="65742872" w14:textId="33040133" w:rsidR="00D00A7D" w:rsidRPr="009C17BC" w:rsidRDefault="000A73AD" w:rsidP="003336E1">
          <w:pPr>
            <w:pStyle w:val="TJ1"/>
            <w:jc w:val="both"/>
            <w:rPr>
              <w:rFonts w:cstheme="minorHAnsi"/>
              <w:noProof/>
              <w:kern w:val="2"/>
              <w:lang w:eastAsia="hu-HU"/>
              <w14:ligatures w14:val="standardContextual"/>
            </w:rPr>
          </w:pPr>
          <w:hyperlink w:anchor="_Toc147237486" w:history="1">
            <w:r w:rsidR="00D00A7D" w:rsidRPr="009C17BC">
              <w:rPr>
                <w:rStyle w:val="Hiperhivatkozs"/>
                <w:rFonts w:cstheme="minorHAnsi"/>
                <w:noProof/>
              </w:rPr>
              <w:t>6.</w:t>
            </w:r>
            <w:r w:rsidR="00D00A7D" w:rsidRPr="009C17BC">
              <w:rPr>
                <w:rFonts w:cstheme="minorHAnsi"/>
                <w:noProof/>
                <w:kern w:val="2"/>
                <w:lang w:eastAsia="hu-HU"/>
                <w14:ligatures w14:val="standardContextual"/>
              </w:rPr>
              <w:tab/>
            </w:r>
            <w:r w:rsidR="00D00A7D" w:rsidRPr="009C17BC">
              <w:rPr>
                <w:rStyle w:val="Hiperhivatkozs"/>
                <w:rFonts w:cstheme="minorHAnsi"/>
                <w:noProof/>
              </w:rPr>
              <w:t>Mellékletek</w:t>
            </w:r>
            <w:r w:rsidR="00D00A7D" w:rsidRPr="009C17BC">
              <w:rPr>
                <w:rFonts w:cstheme="minorHAnsi"/>
                <w:noProof/>
                <w:webHidden/>
              </w:rPr>
              <w:tab/>
            </w:r>
            <w:r w:rsidR="00D00A7D" w:rsidRPr="009C17BC">
              <w:rPr>
                <w:rFonts w:cstheme="minorHAnsi"/>
                <w:noProof/>
                <w:webHidden/>
              </w:rPr>
              <w:fldChar w:fldCharType="begin"/>
            </w:r>
            <w:r w:rsidR="00D00A7D" w:rsidRPr="009C17BC">
              <w:rPr>
                <w:rFonts w:cstheme="minorHAnsi"/>
                <w:noProof/>
                <w:webHidden/>
              </w:rPr>
              <w:instrText xml:space="preserve"> PAGEREF _Toc147237486 \h </w:instrText>
            </w:r>
            <w:r w:rsidR="00D00A7D" w:rsidRPr="009C17BC">
              <w:rPr>
                <w:rFonts w:cstheme="minorHAnsi"/>
                <w:noProof/>
                <w:webHidden/>
              </w:rPr>
            </w:r>
            <w:r w:rsidR="00D00A7D" w:rsidRPr="009C17BC">
              <w:rPr>
                <w:rFonts w:cstheme="minorHAnsi"/>
                <w:noProof/>
                <w:webHidden/>
              </w:rPr>
              <w:fldChar w:fldCharType="separate"/>
            </w:r>
            <w:r w:rsidR="005974A7">
              <w:rPr>
                <w:rFonts w:cstheme="minorHAnsi"/>
                <w:noProof/>
                <w:webHidden/>
              </w:rPr>
              <w:t>21</w:t>
            </w:r>
            <w:r w:rsidR="00D00A7D" w:rsidRPr="009C17BC">
              <w:rPr>
                <w:rFonts w:cstheme="minorHAnsi"/>
                <w:noProof/>
                <w:webHidden/>
              </w:rPr>
              <w:fldChar w:fldCharType="end"/>
            </w:r>
          </w:hyperlink>
        </w:p>
        <w:p w14:paraId="54182006" w14:textId="34409873" w:rsidR="00655B5E" w:rsidRPr="009C17BC" w:rsidRDefault="00655B5E" w:rsidP="003336E1">
          <w:pPr>
            <w:jc w:val="both"/>
            <w:rPr>
              <w:rFonts w:cstheme="minorHAnsi"/>
            </w:rPr>
          </w:pPr>
          <w:r w:rsidRPr="009C17BC">
            <w:rPr>
              <w:rFonts w:cstheme="minorHAnsi"/>
              <w:b/>
              <w:bCs/>
            </w:rPr>
            <w:fldChar w:fldCharType="end"/>
          </w:r>
        </w:p>
      </w:sdtContent>
    </w:sdt>
    <w:p w14:paraId="2F9377B2" w14:textId="6F439B9A" w:rsidR="00655B5E" w:rsidRPr="009C17BC" w:rsidRDefault="00655B5E" w:rsidP="003336E1">
      <w:pPr>
        <w:jc w:val="both"/>
        <w:rPr>
          <w:rFonts w:cstheme="minorHAnsi"/>
        </w:rPr>
      </w:pPr>
      <w:r w:rsidRPr="009C17BC">
        <w:rPr>
          <w:rFonts w:cstheme="minorHAnsi"/>
        </w:rPr>
        <w:br w:type="page"/>
      </w:r>
    </w:p>
    <w:p w14:paraId="4763C70C" w14:textId="7C21F89C" w:rsidR="00655B5E" w:rsidRPr="009C17BC" w:rsidRDefault="00655B5E" w:rsidP="003336E1">
      <w:pPr>
        <w:pStyle w:val="Cmsor1"/>
        <w:numPr>
          <w:ilvl w:val="0"/>
          <w:numId w:val="46"/>
        </w:numPr>
        <w:jc w:val="both"/>
        <w:rPr>
          <w:rFonts w:asciiTheme="minorHAnsi" w:hAnsiTheme="minorHAnsi" w:cstheme="minorHAnsi"/>
          <w:b/>
          <w:bCs/>
          <w:sz w:val="22"/>
          <w:szCs w:val="22"/>
        </w:rPr>
      </w:pPr>
      <w:bookmarkStart w:id="0" w:name="_Toc475391651"/>
      <w:bookmarkStart w:id="1" w:name="_Toc475462531"/>
      <w:bookmarkStart w:id="2" w:name="_Toc477517480"/>
      <w:bookmarkStart w:id="3" w:name="_Toc477519450"/>
      <w:bookmarkStart w:id="4" w:name="_Toc478429047"/>
      <w:bookmarkStart w:id="5" w:name="_Toc478429311"/>
      <w:bookmarkStart w:id="6" w:name="_Toc507768726"/>
      <w:bookmarkStart w:id="7" w:name="_Toc513708844"/>
      <w:bookmarkStart w:id="8" w:name="_Toc35924104"/>
      <w:bookmarkStart w:id="9" w:name="_Toc35924566"/>
      <w:bookmarkStart w:id="10" w:name="_Toc36462804"/>
      <w:bookmarkStart w:id="11" w:name="_Toc97908831"/>
      <w:bookmarkStart w:id="12" w:name="_Toc100827400"/>
      <w:bookmarkStart w:id="13" w:name="_Toc147237465"/>
      <w:r w:rsidRPr="009C17BC">
        <w:rPr>
          <w:rFonts w:asciiTheme="minorHAnsi" w:hAnsiTheme="minorHAnsi" w:cstheme="minorHAnsi"/>
          <w:b/>
          <w:bCs/>
          <w:sz w:val="22"/>
          <w:szCs w:val="22"/>
        </w:rPr>
        <w:lastRenderedPageBreak/>
        <w:t>Szabályzat tárgya</w:t>
      </w:r>
      <w:bookmarkEnd w:id="0"/>
      <w:bookmarkEnd w:id="1"/>
      <w:bookmarkEnd w:id="2"/>
      <w:bookmarkEnd w:id="3"/>
      <w:bookmarkEnd w:id="4"/>
      <w:bookmarkEnd w:id="5"/>
      <w:bookmarkEnd w:id="6"/>
      <w:bookmarkEnd w:id="7"/>
      <w:bookmarkEnd w:id="8"/>
      <w:bookmarkEnd w:id="9"/>
      <w:bookmarkEnd w:id="10"/>
      <w:bookmarkEnd w:id="11"/>
      <w:bookmarkEnd w:id="12"/>
      <w:bookmarkEnd w:id="13"/>
    </w:p>
    <w:p w14:paraId="25CA8485" w14:textId="77777777" w:rsidR="00655B5E" w:rsidRPr="009C17BC" w:rsidRDefault="00655B5E" w:rsidP="003336E1">
      <w:pPr>
        <w:pStyle w:val="Listaszerbekezds"/>
        <w:spacing w:before="100" w:beforeAutospacing="1" w:after="100" w:afterAutospacing="1" w:line="240" w:lineRule="auto"/>
        <w:ind w:left="0"/>
        <w:jc w:val="both"/>
        <w:rPr>
          <w:rFonts w:cstheme="minorHAnsi"/>
        </w:rPr>
      </w:pPr>
      <w:r w:rsidRPr="009C17BC">
        <w:rPr>
          <w:rFonts w:cstheme="minorHAnsi"/>
        </w:rPr>
        <w:t>A Javadalmazási Politika a Bank vezető állású személyeinek és munkavállalóinak díjazására, tevékenységük értékelésére és ösztönzésére terjed ki.</w:t>
      </w:r>
    </w:p>
    <w:p w14:paraId="34855052" w14:textId="29266ECF" w:rsidR="00655B5E" w:rsidRPr="009C17BC" w:rsidRDefault="00655B5E" w:rsidP="003336E1">
      <w:pPr>
        <w:jc w:val="both"/>
        <w:rPr>
          <w:rFonts w:cstheme="minorHAnsi"/>
        </w:rPr>
      </w:pPr>
      <w:r w:rsidRPr="009C17BC">
        <w:rPr>
          <w:rFonts w:cstheme="minorHAnsi"/>
        </w:rPr>
        <w:t xml:space="preserve">Jelen szabályzat a 84/2022 FB sz. Duna Takarék Bank Zrt. Javadalmazási politikájának módosított változata. Változások indoka: </w:t>
      </w:r>
    </w:p>
    <w:p w14:paraId="3D23FAE0" w14:textId="141D64C2" w:rsidR="00655B5E" w:rsidRPr="009C17BC" w:rsidRDefault="00655B5E" w:rsidP="003336E1">
      <w:pPr>
        <w:pStyle w:val="Listaszerbekezds"/>
        <w:numPr>
          <w:ilvl w:val="0"/>
          <w:numId w:val="44"/>
        </w:numPr>
        <w:jc w:val="both"/>
        <w:rPr>
          <w:rFonts w:cstheme="minorHAnsi"/>
        </w:rPr>
      </w:pPr>
      <w:r w:rsidRPr="009C17BC">
        <w:rPr>
          <w:rFonts w:cstheme="minorHAnsi"/>
        </w:rPr>
        <w:t>Éves felülvizsgálat</w:t>
      </w:r>
    </w:p>
    <w:p w14:paraId="4D9D5411" w14:textId="1DE0B0AA" w:rsidR="00655B5E" w:rsidRPr="009C17BC" w:rsidRDefault="00655B5E" w:rsidP="003336E1">
      <w:pPr>
        <w:pStyle w:val="Listaszerbekezds"/>
        <w:numPr>
          <w:ilvl w:val="0"/>
          <w:numId w:val="44"/>
        </w:numPr>
        <w:jc w:val="both"/>
        <w:rPr>
          <w:rFonts w:cstheme="minorHAnsi"/>
        </w:rPr>
      </w:pPr>
      <w:r w:rsidRPr="009C17BC">
        <w:rPr>
          <w:rFonts w:cstheme="minorHAnsi"/>
        </w:rPr>
        <w:t>Belső Ellenőrzési Szakterület megállapításainak átvezetése az MNB ajánlás alapján</w:t>
      </w:r>
    </w:p>
    <w:p w14:paraId="27AEFA20" w14:textId="091EF94B" w:rsidR="00655B5E" w:rsidRPr="009C17BC" w:rsidRDefault="00655B5E" w:rsidP="003336E1">
      <w:pPr>
        <w:pStyle w:val="Cmsor1"/>
        <w:numPr>
          <w:ilvl w:val="0"/>
          <w:numId w:val="46"/>
        </w:numPr>
        <w:jc w:val="both"/>
        <w:rPr>
          <w:rFonts w:asciiTheme="minorHAnsi" w:hAnsiTheme="minorHAnsi" w:cstheme="minorHAnsi"/>
          <w:b/>
          <w:bCs/>
          <w:sz w:val="22"/>
          <w:szCs w:val="22"/>
        </w:rPr>
      </w:pPr>
      <w:bookmarkStart w:id="14" w:name="_Toc147237466"/>
      <w:r w:rsidRPr="009C17BC">
        <w:rPr>
          <w:rFonts w:asciiTheme="minorHAnsi" w:hAnsiTheme="minorHAnsi" w:cstheme="minorHAnsi"/>
          <w:b/>
          <w:bCs/>
          <w:sz w:val="22"/>
          <w:szCs w:val="22"/>
        </w:rPr>
        <w:t>Változások összefoglalása</w:t>
      </w:r>
      <w:bookmarkEnd w:id="14"/>
    </w:p>
    <w:p w14:paraId="2E93F82E" w14:textId="0A541B88" w:rsidR="003336E1" w:rsidRPr="009C17BC" w:rsidRDefault="007949F9" w:rsidP="007949F9">
      <w:pPr>
        <w:tabs>
          <w:tab w:val="left" w:pos="8310"/>
        </w:tabs>
        <w:rPr>
          <w:rFonts w:cstheme="minorHAnsi"/>
        </w:rPr>
      </w:pPr>
      <w:r>
        <w:rPr>
          <w:rFonts w:cstheme="minorHAnsi"/>
        </w:rPr>
        <w:tab/>
      </w:r>
    </w:p>
    <w:p w14:paraId="1E7E104C" w14:textId="77777777" w:rsidR="003F06BA" w:rsidRPr="009C17BC" w:rsidRDefault="003F06BA" w:rsidP="003336E1">
      <w:pPr>
        <w:pStyle w:val="Listaszerbekezds"/>
        <w:spacing w:after="0" w:line="240" w:lineRule="auto"/>
        <w:ind w:left="360" w:right="720"/>
        <w:jc w:val="both"/>
        <w:rPr>
          <w:rFonts w:cstheme="minorHAnsi"/>
          <w:bCs/>
        </w:rPr>
      </w:pPr>
      <w:r w:rsidRPr="009C17BC">
        <w:rPr>
          <w:rFonts w:cstheme="minorHAnsi"/>
          <w:bCs/>
        </w:rPr>
        <w:t>A hatósági, jogszabályi valamint belsőellenőrzési elvárásoknak való megfelelés érdekében alábbi lényegi témákban került sor a jelenleg érvényes szabályzat módosítására:</w:t>
      </w:r>
    </w:p>
    <w:p w14:paraId="65440342" w14:textId="77777777" w:rsidR="003F06BA" w:rsidRPr="009C17BC" w:rsidRDefault="003F06BA" w:rsidP="003336E1">
      <w:pPr>
        <w:pStyle w:val="Listaszerbekezds"/>
        <w:spacing w:after="0" w:line="240" w:lineRule="auto"/>
        <w:ind w:left="360" w:right="720"/>
        <w:jc w:val="both"/>
        <w:rPr>
          <w:rFonts w:cstheme="minorHAnsi"/>
          <w:bCs/>
        </w:rPr>
      </w:pPr>
    </w:p>
    <w:p w14:paraId="646CFE60" w14:textId="77777777" w:rsidR="00553274" w:rsidRPr="009C17BC" w:rsidRDefault="00553274" w:rsidP="003336E1">
      <w:pPr>
        <w:pStyle w:val="Listaszerbekezds"/>
        <w:numPr>
          <w:ilvl w:val="0"/>
          <w:numId w:val="2"/>
        </w:numPr>
        <w:spacing w:after="0" w:line="240" w:lineRule="auto"/>
        <w:jc w:val="both"/>
        <w:rPr>
          <w:rFonts w:eastAsiaTheme="minorHAnsi" w:cstheme="minorHAnsi"/>
        </w:rPr>
      </w:pPr>
      <w:r w:rsidRPr="009C17BC">
        <w:rPr>
          <w:rFonts w:eastAsiaTheme="minorHAnsi" w:cstheme="minorHAnsi"/>
        </w:rPr>
        <w:t>Szabályzat 3. pontjában az azonosítási folyamat kiegészítésre került az abban részt vevő szakterületek megnevezésével</w:t>
      </w:r>
    </w:p>
    <w:p w14:paraId="44679991" w14:textId="77777777" w:rsidR="00553274" w:rsidRPr="009C17BC" w:rsidRDefault="00553274" w:rsidP="003336E1">
      <w:pPr>
        <w:pStyle w:val="Listaszerbekezds"/>
        <w:numPr>
          <w:ilvl w:val="0"/>
          <w:numId w:val="2"/>
        </w:numPr>
        <w:adjustRightInd w:val="0"/>
        <w:spacing w:after="200" w:line="240" w:lineRule="auto"/>
        <w:jc w:val="both"/>
        <w:rPr>
          <w:rFonts w:cstheme="minorHAnsi"/>
        </w:rPr>
      </w:pPr>
      <w:r w:rsidRPr="009C17BC">
        <w:rPr>
          <w:rFonts w:eastAsiaTheme="minorHAnsi" w:cstheme="minorHAnsi"/>
        </w:rPr>
        <w:t xml:space="preserve">Teljesítmény javadalmazásnál a jutalék rendszerhez hasonlóan a szabályzat kiegészítésre került jutalom és célprémium esetén azzal a szabállyal, hogy </w:t>
      </w:r>
      <w:r w:rsidRPr="009C17BC">
        <w:rPr>
          <w:rFonts w:cstheme="minorHAnsi"/>
        </w:rPr>
        <w:t>amennyiben a teljesítmény javadalmazáshoz kapcsolódó teljesítmény értékelés 80%-</w:t>
      </w:r>
      <w:proofErr w:type="spellStart"/>
      <w:r w:rsidRPr="009C17BC">
        <w:rPr>
          <w:rFonts w:cstheme="minorHAnsi"/>
        </w:rPr>
        <w:t>nál</w:t>
      </w:r>
      <w:proofErr w:type="spellEnd"/>
      <w:r w:rsidRPr="009C17BC">
        <w:rPr>
          <w:rFonts w:cstheme="minorHAnsi"/>
        </w:rPr>
        <w:t xml:space="preserve"> alacsonyabb értékű, a jutalom összege az értékelés százalékos arányában kerül kifizetésre. (szabályzat 5.2.1. pontja)</w:t>
      </w:r>
    </w:p>
    <w:p w14:paraId="557B30B5" w14:textId="77777777" w:rsidR="00553274" w:rsidRPr="009C17BC" w:rsidRDefault="00553274" w:rsidP="003336E1">
      <w:pPr>
        <w:pStyle w:val="Listaszerbekezds"/>
        <w:numPr>
          <w:ilvl w:val="0"/>
          <w:numId w:val="2"/>
        </w:numPr>
        <w:adjustRightInd w:val="0"/>
        <w:spacing w:after="200" w:line="240" w:lineRule="auto"/>
        <w:jc w:val="both"/>
        <w:rPr>
          <w:rFonts w:cstheme="minorHAnsi"/>
        </w:rPr>
      </w:pPr>
      <w:r w:rsidRPr="009C17BC">
        <w:rPr>
          <w:rFonts w:cstheme="minorHAnsi"/>
        </w:rPr>
        <w:t>Az alapjavadalmazás és teljesítmény javadalmazás arányának meghatározása pontban az azonosított személyek kategória külön megjelölésre került. (5.2.1. pont)</w:t>
      </w:r>
    </w:p>
    <w:p w14:paraId="72087235" w14:textId="77777777" w:rsidR="00553274" w:rsidRPr="009C17BC" w:rsidRDefault="00553274" w:rsidP="003336E1">
      <w:pPr>
        <w:pStyle w:val="Listaszerbekezds"/>
        <w:numPr>
          <w:ilvl w:val="0"/>
          <w:numId w:val="2"/>
        </w:numPr>
        <w:adjustRightInd w:val="0"/>
        <w:spacing w:after="200" w:line="240" w:lineRule="auto"/>
        <w:jc w:val="both"/>
        <w:rPr>
          <w:rFonts w:cstheme="minorHAnsi"/>
        </w:rPr>
      </w:pPr>
      <w:r w:rsidRPr="009C17BC">
        <w:rPr>
          <w:rFonts w:cstheme="minorHAnsi"/>
        </w:rPr>
        <w:t xml:space="preserve">A bónuszkeret meghatározása kiegészítésre került az MNB ajánlásban foglaltakkal, azaz a </w:t>
      </w:r>
      <w:proofErr w:type="spellStart"/>
      <w:r w:rsidRPr="009C17BC">
        <w:rPr>
          <w:rFonts w:cstheme="minorHAnsi"/>
        </w:rPr>
        <w:t>felülről</w:t>
      </w:r>
      <w:proofErr w:type="spellEnd"/>
      <w:r w:rsidRPr="009C17BC">
        <w:rPr>
          <w:rFonts w:cstheme="minorHAnsi"/>
        </w:rPr>
        <w:t>-lefelé és alulról -felfelé haladó megközelítést megjelöltük, továbbá részletes felosztást tettünk a bónuszkeret meghatározásának kategóriái között.(5.2.2.pont)</w:t>
      </w:r>
    </w:p>
    <w:p w14:paraId="49124F05" w14:textId="77777777" w:rsidR="00553274" w:rsidRPr="009C17BC" w:rsidRDefault="00553274" w:rsidP="003336E1">
      <w:pPr>
        <w:pStyle w:val="Listaszerbekezds"/>
        <w:numPr>
          <w:ilvl w:val="0"/>
          <w:numId w:val="45"/>
        </w:numPr>
        <w:spacing w:after="0" w:line="240" w:lineRule="auto"/>
        <w:jc w:val="both"/>
        <w:rPr>
          <w:rFonts w:eastAsiaTheme="minorHAnsi" w:cstheme="minorHAnsi"/>
        </w:rPr>
      </w:pPr>
      <w:r w:rsidRPr="009C17BC">
        <w:rPr>
          <w:rFonts w:eastAsiaTheme="minorHAnsi" w:cstheme="minorHAnsi"/>
        </w:rPr>
        <w:t>5.2.2. pontban a Felügyelő Bizottság Ügyvezetői Értekezlet hatáskörébe utalja az általa felügyelt területek beosztott státuszú munkavállalóinak javadalmazásában hozott döntést.</w:t>
      </w:r>
    </w:p>
    <w:p w14:paraId="5E6E3EB8" w14:textId="77777777" w:rsidR="00553274" w:rsidRPr="009C17BC" w:rsidRDefault="00553274" w:rsidP="003336E1">
      <w:pPr>
        <w:pStyle w:val="Listaszerbekezds"/>
        <w:numPr>
          <w:ilvl w:val="0"/>
          <w:numId w:val="2"/>
        </w:numPr>
        <w:spacing w:after="0" w:line="240" w:lineRule="auto"/>
        <w:jc w:val="both"/>
        <w:rPr>
          <w:rFonts w:eastAsiaTheme="minorHAnsi" w:cstheme="minorHAnsi"/>
        </w:rPr>
      </w:pPr>
      <w:r w:rsidRPr="009C17BC">
        <w:rPr>
          <w:rFonts w:eastAsiaTheme="minorHAnsi" w:cstheme="minorHAnsi"/>
        </w:rPr>
        <w:t>1. számú melléklet módosítása: az azonosítási adatlap az MNB ajánlásban foglaltak szerint kiegészítésre került azzal, hogy meghatároztuk az azonosított személyek számát, bele értve az első azonosítást is, külön táblázatba foglaltuk az azonosított személyek nevét, munkakörét, üzleti területi besorolását és az azonosítás szempontját. A Felügyelő Bizottságban történt személyi változások átvezetésre kerültek.</w:t>
      </w:r>
    </w:p>
    <w:p w14:paraId="4668F2C2" w14:textId="77777777" w:rsidR="00553274" w:rsidRPr="009C17BC" w:rsidRDefault="00553274" w:rsidP="003336E1">
      <w:pPr>
        <w:pStyle w:val="Listaszerbekezds"/>
        <w:numPr>
          <w:ilvl w:val="0"/>
          <w:numId w:val="2"/>
        </w:numPr>
        <w:jc w:val="both"/>
        <w:rPr>
          <w:rFonts w:cstheme="minorHAnsi"/>
        </w:rPr>
      </w:pPr>
      <w:r w:rsidRPr="009C17BC">
        <w:rPr>
          <w:rFonts w:cstheme="minorHAnsi"/>
        </w:rPr>
        <w:t xml:space="preserve">2. számú melléklet módosítása: A banki teljesítmény alapján értékelt munkatársak esetében az objektív szempontok arányának 60%, a szubjektívekének 20% a szervezetiekének pedig 20% körüli értéknek kell lennie. Azért került sor a „körüli érték” meghatározására, mert a TÉR lapok (3. számú melléklet) alapján a százalékos számadat nem kerek 60-20-20 % </w:t>
      </w:r>
      <w:proofErr w:type="spellStart"/>
      <w:r w:rsidRPr="009C17BC">
        <w:rPr>
          <w:rFonts w:cstheme="minorHAnsi"/>
        </w:rPr>
        <w:t>os</w:t>
      </w:r>
      <w:proofErr w:type="spellEnd"/>
      <w:r w:rsidRPr="009C17BC">
        <w:rPr>
          <w:rFonts w:cstheme="minorHAnsi"/>
        </w:rPr>
        <w:t xml:space="preserve"> értéket ad, hanem néhány százalékkal eltér. </w:t>
      </w:r>
    </w:p>
    <w:p w14:paraId="27615C2B" w14:textId="3518D3E2" w:rsidR="003F06BA" w:rsidRPr="009C17BC" w:rsidRDefault="00553274" w:rsidP="003336E1">
      <w:pPr>
        <w:pStyle w:val="Listaszerbekezds"/>
        <w:numPr>
          <w:ilvl w:val="0"/>
          <w:numId w:val="2"/>
        </w:numPr>
        <w:spacing w:after="200" w:line="276" w:lineRule="auto"/>
        <w:jc w:val="both"/>
        <w:rPr>
          <w:rFonts w:cstheme="minorHAnsi"/>
        </w:rPr>
      </w:pPr>
      <w:r w:rsidRPr="009C17BC">
        <w:rPr>
          <w:rFonts w:cstheme="minorHAnsi"/>
        </w:rPr>
        <w:t>4. számú melléklet módosítása: A vállalati beruházási és forgóeszközhitelek esetén beemelésre került a BEO által kért minőségi elvárásoknak megfelelő jutalékkifizetés. Szerzési és fenntartási jutalék került meghatározásre és ehhez kapcsolódóan a jutalékok mértéke is módosításra került. A vállalati lombard hitelekhez kapcsolódó kifizetések kerültek korlátozásra, hogy egy évben ugyanazon ügylet meghosszabbításához csak egy alkalommal kerülhet kifizetésre jutalék.</w:t>
      </w:r>
    </w:p>
    <w:p w14:paraId="6EC29B76" w14:textId="262DB634" w:rsidR="00655B5E" w:rsidRPr="009C17BC" w:rsidRDefault="00655B5E" w:rsidP="003336E1">
      <w:pPr>
        <w:pStyle w:val="Cmsor1"/>
        <w:numPr>
          <w:ilvl w:val="0"/>
          <w:numId w:val="46"/>
        </w:numPr>
        <w:jc w:val="both"/>
        <w:rPr>
          <w:rFonts w:asciiTheme="minorHAnsi" w:hAnsiTheme="minorHAnsi" w:cstheme="minorHAnsi"/>
          <w:b/>
          <w:bCs/>
          <w:sz w:val="22"/>
          <w:szCs w:val="22"/>
        </w:rPr>
      </w:pPr>
      <w:bookmarkStart w:id="15" w:name="_Toc475391652"/>
      <w:bookmarkStart w:id="16" w:name="_Toc475462532"/>
      <w:bookmarkStart w:id="17" w:name="_Toc477517481"/>
      <w:bookmarkStart w:id="18" w:name="_Toc477519451"/>
      <w:bookmarkStart w:id="19" w:name="_Toc478429048"/>
      <w:bookmarkStart w:id="20" w:name="_Toc478429312"/>
      <w:bookmarkStart w:id="21" w:name="_Toc507768727"/>
      <w:bookmarkStart w:id="22" w:name="_Toc513708845"/>
      <w:bookmarkStart w:id="23" w:name="_Toc35924105"/>
      <w:bookmarkStart w:id="24" w:name="_Toc35924567"/>
      <w:bookmarkStart w:id="25" w:name="_Toc36462805"/>
      <w:bookmarkStart w:id="26" w:name="_Toc97908832"/>
      <w:bookmarkStart w:id="27" w:name="_Toc100827401"/>
      <w:bookmarkStart w:id="28" w:name="_Toc147237467"/>
      <w:r w:rsidRPr="009C17BC">
        <w:rPr>
          <w:rFonts w:asciiTheme="minorHAnsi" w:hAnsiTheme="minorHAnsi" w:cstheme="minorHAnsi"/>
          <w:b/>
          <w:bCs/>
          <w:sz w:val="22"/>
          <w:szCs w:val="22"/>
        </w:rPr>
        <w:lastRenderedPageBreak/>
        <w:t>Szabályzat alanyi és tárgyi hatálya</w:t>
      </w:r>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6C13891F" w14:textId="77777777" w:rsidR="00C30708" w:rsidRPr="009C17BC" w:rsidRDefault="00C30708" w:rsidP="003336E1">
      <w:pPr>
        <w:jc w:val="both"/>
        <w:rPr>
          <w:rFonts w:cstheme="minorHAnsi"/>
        </w:rPr>
      </w:pPr>
    </w:p>
    <w:p w14:paraId="6DAA2602" w14:textId="67FCE614" w:rsidR="003F06BA" w:rsidRPr="009C17BC" w:rsidRDefault="003F06BA" w:rsidP="003336E1">
      <w:pPr>
        <w:jc w:val="both"/>
        <w:rPr>
          <w:rFonts w:cstheme="minorHAnsi"/>
          <w:b/>
        </w:rPr>
      </w:pPr>
      <w:r w:rsidRPr="009C17BC">
        <w:rPr>
          <w:rFonts w:cstheme="minorHAnsi"/>
          <w:b/>
        </w:rPr>
        <w:t>Alanyi hatály</w:t>
      </w:r>
    </w:p>
    <w:p w14:paraId="33810952" w14:textId="7900467B" w:rsidR="003F06BA" w:rsidRPr="009C17BC" w:rsidRDefault="003F06BA" w:rsidP="003336E1">
      <w:pPr>
        <w:jc w:val="both"/>
        <w:rPr>
          <w:rFonts w:cstheme="minorHAnsi"/>
        </w:rPr>
      </w:pPr>
      <w:r w:rsidRPr="009C17BC">
        <w:rPr>
          <w:rFonts w:cstheme="minorHAnsi"/>
        </w:rPr>
        <w:t xml:space="preserve">A Javadalmazási Politika alanyi hatálya a Bank </w:t>
      </w:r>
      <w:r w:rsidR="0019709F">
        <w:rPr>
          <w:rFonts w:cstheme="minorHAnsi"/>
        </w:rPr>
        <w:t xml:space="preserve">valamennyi munkavállalójára </w:t>
      </w:r>
      <w:r w:rsidRPr="009C17BC">
        <w:rPr>
          <w:rFonts w:cstheme="minorHAnsi"/>
        </w:rPr>
        <w:t>terjed ki.</w:t>
      </w:r>
    </w:p>
    <w:p w14:paraId="784F6C85" w14:textId="7E4A2689" w:rsidR="003F06BA" w:rsidRPr="009C17BC" w:rsidRDefault="003F06BA" w:rsidP="003336E1">
      <w:pPr>
        <w:pStyle w:val="Default"/>
        <w:jc w:val="both"/>
        <w:rPr>
          <w:rFonts w:asciiTheme="minorHAnsi" w:hAnsiTheme="minorHAnsi" w:cstheme="minorHAnsi"/>
          <w:sz w:val="22"/>
          <w:szCs w:val="22"/>
        </w:rPr>
      </w:pPr>
      <w:r w:rsidRPr="009C17BC">
        <w:rPr>
          <w:rFonts w:asciiTheme="minorHAnsi" w:hAnsiTheme="minorHAnsi" w:cstheme="minorHAnsi"/>
          <w:sz w:val="22"/>
          <w:szCs w:val="22"/>
        </w:rPr>
        <w:t xml:space="preserve">Az arányosság elve a Magyar Nemzeti Banknak </w:t>
      </w:r>
      <w:r w:rsidRPr="009C17BC">
        <w:rPr>
          <w:rFonts w:asciiTheme="minorHAnsi" w:hAnsiTheme="minorHAnsi" w:cstheme="minorHAnsi"/>
          <w:bCs/>
          <w:sz w:val="22"/>
          <w:szCs w:val="22"/>
        </w:rPr>
        <w:t>a hitelintézetekről és a pénzügyi vállalkozásokról szóló törvény szerinti javadalmazási politika alkalmazásáról szóló 4/2022. (IV.8.) sz. ajánlása (a továbbiakban: MNB ajánlás) alapján kerül alkalmazásra</w:t>
      </w:r>
      <w:r w:rsidRPr="009C17BC">
        <w:rPr>
          <w:rFonts w:asciiTheme="minorHAnsi" w:hAnsiTheme="minorHAnsi" w:cstheme="minorHAnsi"/>
          <w:sz w:val="22"/>
          <w:szCs w:val="22"/>
        </w:rPr>
        <w:t>. A Javadalmazási Politikára vonatkozó követelmények, felügyeleti elvárások arányos módon történő alkalmazásának értékelése során a</w:t>
      </w:r>
      <w:r w:rsidR="0049506F" w:rsidRPr="009C17BC">
        <w:rPr>
          <w:rFonts w:asciiTheme="minorHAnsi" w:hAnsiTheme="minorHAnsi" w:cstheme="minorHAnsi"/>
          <w:sz w:val="22"/>
          <w:szCs w:val="22"/>
        </w:rPr>
        <w:t xml:space="preserve"> </w:t>
      </w:r>
      <w:r w:rsidRPr="009C17BC">
        <w:rPr>
          <w:rFonts w:asciiTheme="minorHAnsi" w:hAnsiTheme="minorHAnsi" w:cstheme="minorHAnsi"/>
          <w:sz w:val="22"/>
          <w:szCs w:val="22"/>
        </w:rPr>
        <w:t>Banknak legalább az MNB ajánlásban szereplő, alábbi kritériumokat szükséges figyelembe vennie:</w:t>
      </w:r>
    </w:p>
    <w:p w14:paraId="2DF2A2C3" w14:textId="77777777" w:rsidR="0049506F" w:rsidRPr="009C17BC" w:rsidRDefault="0049506F" w:rsidP="003336E1">
      <w:pPr>
        <w:pStyle w:val="Default"/>
        <w:jc w:val="both"/>
        <w:rPr>
          <w:rFonts w:asciiTheme="minorHAnsi" w:hAnsiTheme="minorHAnsi" w:cstheme="minorHAnsi"/>
          <w:sz w:val="22"/>
          <w:szCs w:val="22"/>
        </w:rPr>
      </w:pPr>
    </w:p>
    <w:p w14:paraId="1A033370" w14:textId="77777777" w:rsidR="003F06BA" w:rsidRPr="009C17BC" w:rsidRDefault="003F06BA" w:rsidP="003336E1">
      <w:pPr>
        <w:pStyle w:val="Default"/>
        <w:numPr>
          <w:ilvl w:val="0"/>
          <w:numId w:val="35"/>
        </w:numPr>
        <w:jc w:val="both"/>
        <w:rPr>
          <w:rStyle w:val="markedcontent"/>
          <w:rFonts w:asciiTheme="minorHAnsi" w:hAnsiTheme="minorHAnsi" w:cstheme="minorHAnsi"/>
          <w:sz w:val="22"/>
          <w:szCs w:val="22"/>
        </w:rPr>
      </w:pPr>
      <w:r w:rsidRPr="009C17BC">
        <w:rPr>
          <w:rStyle w:val="markedcontent"/>
          <w:rFonts w:asciiTheme="minorHAnsi" w:hAnsiTheme="minorHAnsi" w:cstheme="minorHAnsi"/>
          <w:sz w:val="22"/>
          <w:szCs w:val="22"/>
        </w:rPr>
        <w:t>a Bank megfelel-e a kis méretű és nem összetett intézmény kritériumának a CRR 4. cikk (1) bekezdés 145. foglalt meghatározás szerint;</w:t>
      </w:r>
    </w:p>
    <w:p w14:paraId="07D912C1" w14:textId="77777777" w:rsidR="003F06BA" w:rsidRPr="009C17BC" w:rsidRDefault="003F06BA" w:rsidP="003336E1">
      <w:pPr>
        <w:pStyle w:val="Default"/>
        <w:numPr>
          <w:ilvl w:val="0"/>
          <w:numId w:val="35"/>
        </w:numPr>
        <w:jc w:val="both"/>
        <w:rPr>
          <w:rStyle w:val="markedcontent"/>
          <w:rFonts w:asciiTheme="minorHAnsi" w:hAnsiTheme="minorHAnsi" w:cstheme="minorHAnsi"/>
          <w:sz w:val="22"/>
          <w:szCs w:val="22"/>
        </w:rPr>
      </w:pPr>
      <w:r w:rsidRPr="009C17BC">
        <w:rPr>
          <w:rStyle w:val="markedcontent"/>
          <w:rFonts w:asciiTheme="minorHAnsi" w:hAnsiTheme="minorHAnsi" w:cstheme="minorHAnsi"/>
          <w:sz w:val="22"/>
          <w:szCs w:val="22"/>
        </w:rPr>
        <w:t>a Bank megfelel-e a CRD 94. cikk (3) és (4) bekezdése szerinti, a nemzeti jogszabályokban meghatározott kritériumoknak és értékhatároknak a teljesítményjavadalmazás kifizetését érintő mentességek tekintetében;</w:t>
      </w:r>
    </w:p>
    <w:p w14:paraId="2DB11908" w14:textId="77777777" w:rsidR="003F06BA" w:rsidRPr="009C17BC" w:rsidRDefault="003F06BA" w:rsidP="003336E1">
      <w:pPr>
        <w:pStyle w:val="Default"/>
        <w:numPr>
          <w:ilvl w:val="0"/>
          <w:numId w:val="35"/>
        </w:numPr>
        <w:jc w:val="both"/>
        <w:rPr>
          <w:rStyle w:val="markedcontent"/>
          <w:rFonts w:asciiTheme="minorHAnsi" w:hAnsiTheme="minorHAnsi" w:cstheme="minorHAnsi"/>
          <w:sz w:val="22"/>
          <w:szCs w:val="22"/>
        </w:rPr>
      </w:pPr>
      <w:r w:rsidRPr="009C17BC">
        <w:rPr>
          <w:rStyle w:val="markedcontent"/>
          <w:rFonts w:asciiTheme="minorHAnsi" w:hAnsiTheme="minorHAnsi" w:cstheme="minorHAnsi"/>
          <w:sz w:val="22"/>
          <w:szCs w:val="22"/>
        </w:rPr>
        <w:t>a Bank földrajzi jelenléte, valamint a tevékenységek nagyságrendje minden egyes joghatóságra vonatkozóan;</w:t>
      </w:r>
    </w:p>
    <w:p w14:paraId="7E1A141B" w14:textId="77777777" w:rsidR="003F06BA" w:rsidRPr="009C17BC" w:rsidRDefault="003F06BA" w:rsidP="003336E1">
      <w:pPr>
        <w:pStyle w:val="Default"/>
        <w:numPr>
          <w:ilvl w:val="0"/>
          <w:numId w:val="35"/>
        </w:numPr>
        <w:jc w:val="both"/>
        <w:rPr>
          <w:rStyle w:val="markedcontent"/>
          <w:rFonts w:asciiTheme="minorHAnsi" w:hAnsiTheme="minorHAnsi" w:cstheme="minorHAnsi"/>
          <w:sz w:val="22"/>
          <w:szCs w:val="22"/>
        </w:rPr>
      </w:pPr>
      <w:r w:rsidRPr="009C17BC">
        <w:rPr>
          <w:rStyle w:val="markedcontent"/>
          <w:rFonts w:asciiTheme="minorHAnsi" w:hAnsiTheme="minorHAnsi" w:cstheme="minorHAnsi"/>
          <w:sz w:val="22"/>
          <w:szCs w:val="22"/>
        </w:rPr>
        <w:t>a működési forma, valamint a rendelkezésre álló tőke- és kötelezettségállomány;</w:t>
      </w:r>
    </w:p>
    <w:p w14:paraId="49824598" w14:textId="77777777" w:rsidR="003F06BA" w:rsidRPr="009C17BC" w:rsidRDefault="003F06BA" w:rsidP="003336E1">
      <w:pPr>
        <w:pStyle w:val="Default"/>
        <w:numPr>
          <w:ilvl w:val="0"/>
          <w:numId w:val="35"/>
        </w:numPr>
        <w:jc w:val="both"/>
        <w:rPr>
          <w:rStyle w:val="markedcontent"/>
          <w:rFonts w:asciiTheme="minorHAnsi" w:hAnsiTheme="minorHAnsi" w:cstheme="minorHAnsi"/>
          <w:sz w:val="22"/>
          <w:szCs w:val="22"/>
        </w:rPr>
      </w:pPr>
      <w:r w:rsidRPr="009C17BC">
        <w:rPr>
          <w:rStyle w:val="markedcontent"/>
          <w:rFonts w:asciiTheme="minorHAnsi" w:hAnsiTheme="minorHAnsi" w:cstheme="minorHAnsi"/>
          <w:sz w:val="22"/>
          <w:szCs w:val="22"/>
        </w:rPr>
        <w:t>a tőkekövetelmények mérésére szolgáló belső módszerek (például IRB, AMA) használatára vonatkozó engedély;</w:t>
      </w:r>
    </w:p>
    <w:p w14:paraId="25B4C6BD" w14:textId="77777777" w:rsidR="003F06BA" w:rsidRPr="009C17BC" w:rsidRDefault="003F06BA" w:rsidP="003336E1">
      <w:pPr>
        <w:pStyle w:val="Default"/>
        <w:numPr>
          <w:ilvl w:val="0"/>
          <w:numId w:val="35"/>
        </w:numPr>
        <w:jc w:val="both"/>
        <w:rPr>
          <w:rStyle w:val="markedcontent"/>
          <w:rFonts w:asciiTheme="minorHAnsi" w:hAnsiTheme="minorHAnsi" w:cstheme="minorHAnsi"/>
          <w:sz w:val="22"/>
          <w:szCs w:val="22"/>
        </w:rPr>
      </w:pPr>
      <w:r w:rsidRPr="009C17BC">
        <w:rPr>
          <w:rStyle w:val="markedcontent"/>
          <w:rFonts w:asciiTheme="minorHAnsi" w:hAnsiTheme="minorHAnsi" w:cstheme="minorHAnsi"/>
          <w:sz w:val="22"/>
          <w:szCs w:val="22"/>
        </w:rPr>
        <w:t xml:space="preserve">a Bank csoport tagja-e, és ha igen, a csoporttal kapcsolatban végzett arányossági értékelés és azon csoport jellemzői, amelyhez a Bank tartozik; </w:t>
      </w:r>
    </w:p>
    <w:p w14:paraId="2339176E" w14:textId="77777777" w:rsidR="003F06BA" w:rsidRPr="009C17BC" w:rsidRDefault="003F06BA" w:rsidP="003336E1">
      <w:pPr>
        <w:pStyle w:val="Default"/>
        <w:numPr>
          <w:ilvl w:val="0"/>
          <w:numId w:val="35"/>
        </w:numPr>
        <w:jc w:val="both"/>
        <w:rPr>
          <w:rStyle w:val="markedcontent"/>
          <w:rFonts w:asciiTheme="minorHAnsi" w:hAnsiTheme="minorHAnsi" w:cstheme="minorHAnsi"/>
          <w:sz w:val="22"/>
          <w:szCs w:val="22"/>
        </w:rPr>
      </w:pPr>
      <w:r w:rsidRPr="009C17BC">
        <w:rPr>
          <w:rStyle w:val="markedcontent"/>
          <w:rFonts w:asciiTheme="minorHAnsi" w:hAnsiTheme="minorHAnsi" w:cstheme="minorHAnsi"/>
          <w:sz w:val="22"/>
          <w:szCs w:val="22"/>
        </w:rPr>
        <w:t>az engedélyezett tevékenységek és szolgáltatások típusa (például kölcsönök és betétek, befektetési banki tevékenység);</w:t>
      </w:r>
    </w:p>
    <w:p w14:paraId="60449779" w14:textId="77777777" w:rsidR="003F06BA" w:rsidRPr="009C17BC" w:rsidRDefault="003F06BA" w:rsidP="003336E1">
      <w:pPr>
        <w:pStyle w:val="Default"/>
        <w:numPr>
          <w:ilvl w:val="0"/>
          <w:numId w:val="35"/>
        </w:numPr>
        <w:jc w:val="both"/>
        <w:rPr>
          <w:rStyle w:val="markedcontent"/>
          <w:rFonts w:asciiTheme="minorHAnsi" w:hAnsiTheme="minorHAnsi" w:cstheme="minorHAnsi"/>
          <w:sz w:val="22"/>
          <w:szCs w:val="22"/>
        </w:rPr>
      </w:pPr>
      <w:r w:rsidRPr="009C17BC">
        <w:rPr>
          <w:rStyle w:val="markedcontent"/>
          <w:rFonts w:asciiTheme="minorHAnsi" w:hAnsiTheme="minorHAnsi" w:cstheme="minorHAnsi"/>
          <w:sz w:val="22"/>
          <w:szCs w:val="22"/>
        </w:rPr>
        <w:t>az alapul szolgáló üzleti stratégia;</w:t>
      </w:r>
    </w:p>
    <w:p w14:paraId="4273E5DB" w14:textId="77777777" w:rsidR="003F06BA" w:rsidRPr="009C17BC" w:rsidRDefault="003F06BA" w:rsidP="003336E1">
      <w:pPr>
        <w:pStyle w:val="Default"/>
        <w:numPr>
          <w:ilvl w:val="0"/>
          <w:numId w:val="35"/>
        </w:numPr>
        <w:jc w:val="both"/>
        <w:rPr>
          <w:rStyle w:val="markedcontent"/>
          <w:rFonts w:asciiTheme="minorHAnsi" w:hAnsiTheme="minorHAnsi" w:cstheme="minorHAnsi"/>
          <w:sz w:val="22"/>
          <w:szCs w:val="22"/>
        </w:rPr>
      </w:pPr>
      <w:r w:rsidRPr="009C17BC">
        <w:rPr>
          <w:rStyle w:val="markedcontent"/>
          <w:rFonts w:asciiTheme="minorHAnsi" w:hAnsiTheme="minorHAnsi" w:cstheme="minorHAnsi"/>
          <w:sz w:val="22"/>
          <w:szCs w:val="22"/>
        </w:rPr>
        <w:t>az üzleti tevékenységek struktúrája, valamint az üzleti tevékenységek kockázatainak időhorizontjai, mérhetősége és kiszámíthatósága;</w:t>
      </w:r>
    </w:p>
    <w:p w14:paraId="7345E7C9" w14:textId="77777777" w:rsidR="003F06BA" w:rsidRPr="009C17BC" w:rsidRDefault="003F06BA" w:rsidP="003336E1">
      <w:pPr>
        <w:pStyle w:val="Default"/>
        <w:numPr>
          <w:ilvl w:val="0"/>
          <w:numId w:val="35"/>
        </w:numPr>
        <w:jc w:val="both"/>
        <w:rPr>
          <w:rStyle w:val="markedcontent"/>
          <w:rFonts w:asciiTheme="minorHAnsi" w:hAnsiTheme="minorHAnsi" w:cstheme="minorHAnsi"/>
          <w:sz w:val="22"/>
          <w:szCs w:val="22"/>
        </w:rPr>
      </w:pPr>
      <w:r w:rsidRPr="009C17BC">
        <w:rPr>
          <w:rStyle w:val="markedcontent"/>
          <w:rFonts w:asciiTheme="minorHAnsi" w:hAnsiTheme="minorHAnsi" w:cstheme="minorHAnsi"/>
          <w:sz w:val="22"/>
          <w:szCs w:val="22"/>
        </w:rPr>
        <w:t>a Bank finanszírozási struktúrája;</w:t>
      </w:r>
    </w:p>
    <w:p w14:paraId="5BD9F311" w14:textId="77777777" w:rsidR="003F06BA" w:rsidRPr="009C17BC" w:rsidRDefault="003F06BA" w:rsidP="003336E1">
      <w:pPr>
        <w:pStyle w:val="Default"/>
        <w:numPr>
          <w:ilvl w:val="0"/>
          <w:numId w:val="35"/>
        </w:numPr>
        <w:jc w:val="both"/>
        <w:rPr>
          <w:rStyle w:val="markedcontent"/>
          <w:rFonts w:asciiTheme="minorHAnsi" w:hAnsiTheme="minorHAnsi" w:cstheme="minorHAnsi"/>
          <w:sz w:val="22"/>
          <w:szCs w:val="22"/>
        </w:rPr>
      </w:pPr>
      <w:r w:rsidRPr="009C17BC">
        <w:rPr>
          <w:rStyle w:val="markedcontent"/>
          <w:rFonts w:asciiTheme="minorHAnsi" w:hAnsiTheme="minorHAnsi" w:cstheme="minorHAnsi"/>
          <w:sz w:val="22"/>
          <w:szCs w:val="22"/>
        </w:rPr>
        <w:t>a Bank belső szervezeti felépítése, beleértve az azonosított munkavállalóknak kifizethető teljesítményjavadalmazás szintjét;</w:t>
      </w:r>
    </w:p>
    <w:p w14:paraId="534EC67D" w14:textId="77777777" w:rsidR="003F06BA" w:rsidRPr="009C17BC" w:rsidRDefault="003F06BA" w:rsidP="003336E1">
      <w:pPr>
        <w:pStyle w:val="Default"/>
        <w:numPr>
          <w:ilvl w:val="0"/>
          <w:numId w:val="35"/>
        </w:numPr>
        <w:jc w:val="both"/>
        <w:rPr>
          <w:rStyle w:val="markedcontent"/>
          <w:rFonts w:asciiTheme="minorHAnsi" w:hAnsiTheme="minorHAnsi" w:cstheme="minorHAnsi"/>
          <w:sz w:val="22"/>
          <w:szCs w:val="22"/>
        </w:rPr>
      </w:pPr>
      <w:r w:rsidRPr="009C17BC">
        <w:rPr>
          <w:rStyle w:val="markedcontent"/>
          <w:rFonts w:asciiTheme="minorHAnsi" w:hAnsiTheme="minorHAnsi" w:cstheme="minorHAnsi"/>
          <w:sz w:val="22"/>
          <w:szCs w:val="22"/>
        </w:rPr>
        <w:t>a Bank eredménykimutatásának struktúrája;</w:t>
      </w:r>
    </w:p>
    <w:p w14:paraId="10219828" w14:textId="77777777" w:rsidR="003F06BA" w:rsidRPr="009C17BC" w:rsidRDefault="003F06BA" w:rsidP="003336E1">
      <w:pPr>
        <w:pStyle w:val="Default"/>
        <w:numPr>
          <w:ilvl w:val="0"/>
          <w:numId w:val="35"/>
        </w:numPr>
        <w:jc w:val="both"/>
        <w:rPr>
          <w:rStyle w:val="markedcontent"/>
          <w:rFonts w:asciiTheme="minorHAnsi" w:hAnsiTheme="minorHAnsi" w:cstheme="minorHAnsi"/>
          <w:sz w:val="22"/>
          <w:szCs w:val="22"/>
        </w:rPr>
      </w:pPr>
      <w:r w:rsidRPr="009C17BC">
        <w:rPr>
          <w:rStyle w:val="markedcontent"/>
          <w:rFonts w:asciiTheme="minorHAnsi" w:hAnsiTheme="minorHAnsi" w:cstheme="minorHAnsi"/>
          <w:sz w:val="22"/>
          <w:szCs w:val="22"/>
        </w:rPr>
        <w:t>az ügyfélkör (például lakossági, vállalati, kisvállalkozások, közintézmények);</w:t>
      </w:r>
    </w:p>
    <w:p w14:paraId="73D6FBD6" w14:textId="77777777" w:rsidR="003F06BA" w:rsidRPr="009C17BC" w:rsidRDefault="003F06BA" w:rsidP="003336E1">
      <w:pPr>
        <w:pStyle w:val="Default"/>
        <w:numPr>
          <w:ilvl w:val="0"/>
          <w:numId w:val="35"/>
        </w:numPr>
        <w:jc w:val="both"/>
        <w:rPr>
          <w:rFonts w:asciiTheme="minorHAnsi" w:hAnsiTheme="minorHAnsi" w:cstheme="minorHAnsi"/>
          <w:sz w:val="22"/>
          <w:szCs w:val="22"/>
        </w:rPr>
      </w:pPr>
      <w:r w:rsidRPr="009C17BC">
        <w:rPr>
          <w:rStyle w:val="markedcontent"/>
          <w:rFonts w:asciiTheme="minorHAnsi" w:hAnsiTheme="minorHAnsi" w:cstheme="minorHAnsi"/>
          <w:sz w:val="22"/>
          <w:szCs w:val="22"/>
        </w:rPr>
        <w:t>a termékek vagy szerződések összetettsége.</w:t>
      </w:r>
      <w:r w:rsidRPr="009C17BC">
        <w:rPr>
          <w:rFonts w:asciiTheme="minorHAnsi" w:hAnsiTheme="minorHAnsi" w:cstheme="minorHAnsi"/>
          <w:sz w:val="22"/>
          <w:szCs w:val="22"/>
        </w:rPr>
        <w:t xml:space="preserve"> </w:t>
      </w:r>
    </w:p>
    <w:p w14:paraId="1988419F" w14:textId="77777777" w:rsidR="003F06BA" w:rsidRPr="009C17BC" w:rsidRDefault="003F06BA" w:rsidP="003336E1">
      <w:pPr>
        <w:pStyle w:val="Default"/>
        <w:ind w:left="1068"/>
        <w:jc w:val="both"/>
        <w:rPr>
          <w:rFonts w:asciiTheme="minorHAnsi" w:hAnsiTheme="minorHAnsi" w:cstheme="minorHAnsi"/>
          <w:sz w:val="22"/>
          <w:szCs w:val="22"/>
        </w:rPr>
      </w:pPr>
    </w:p>
    <w:p w14:paraId="1B4A346D" w14:textId="47AA49C0" w:rsidR="003F06BA" w:rsidRPr="009C17BC" w:rsidRDefault="003F06BA" w:rsidP="003336E1">
      <w:pPr>
        <w:spacing w:after="0"/>
        <w:jc w:val="both"/>
        <w:rPr>
          <w:rFonts w:cstheme="minorHAnsi"/>
        </w:rPr>
      </w:pPr>
      <w:r w:rsidRPr="009C17BC">
        <w:rPr>
          <w:rFonts w:cstheme="minorHAnsi"/>
        </w:rPr>
        <w:t>Figyelembe véve ezeket a szempontokat – kiemelten (1) a Bank a CRR. 4. cikk (1) bekezdés 145. pontja szerinti kis méretű, nem összetett intézmény, (2) a Bank megfelel a Hpt. teljesítményjavadalmazás kifizetését érintő mentességekre vonatkozó előírásainak,  (3) a Duna Takarék Bank Zrt. mérlegfőösszegét, (4) szervezeti sajátosságát és földrajzi jelenlétét , (3) tevékenységének jellegét és összetettségét -   alkalmazásra került az arányosság elve.</w:t>
      </w:r>
      <w:r w:rsidRPr="009C17BC" w:rsidDel="003461D6">
        <w:rPr>
          <w:rFonts w:cstheme="minorHAnsi"/>
        </w:rPr>
        <w:t xml:space="preserve"> </w:t>
      </w:r>
    </w:p>
    <w:p w14:paraId="08C9EDE7" w14:textId="77777777" w:rsidR="003F06BA" w:rsidRPr="009C17BC" w:rsidRDefault="003F06BA" w:rsidP="003336E1">
      <w:pPr>
        <w:spacing w:after="0"/>
        <w:jc w:val="both"/>
        <w:rPr>
          <w:rFonts w:cstheme="minorHAnsi"/>
        </w:rPr>
      </w:pPr>
      <w:r w:rsidRPr="009C17BC">
        <w:rPr>
          <w:rFonts w:cstheme="minorHAnsi"/>
        </w:rPr>
        <w:t xml:space="preserve">A Bank az arányosság elvét addig alkalmazza, amíg megfelel a kis méretű, nem összetett intézmény kritériumának a CRR. 4. cikk (1) bekezdés 145. pontjának meghatározása alapján, valamint a Hpt. 119. § (5) bekezdés a) és b) pontja szerinti feltételeknek és értékhatároknak. A fenti feltételeknek való megfelelést a Felügyelő Bizottság a javadalmazással kapcsolatos döntéseket meghozó – az évi rendes közgyűlést megelőző – ülésén vizsgálja meg. Amennyiben a Bank a Felügyelő Bizottsága döntése alapján megfelel az arányossági feltételeknek, úgy az arányosság elve a következő rendes (vagy mérleg elfogadó) közgyűlésig alkalmazható marad.  Amennyiben a Bank nem felel meg a CRR, és/vagy a Hpt. hivatkozott rendelkezéseiben előírt feltételeknek, akkor azonnali hatállyal megszünteti az arányosság elvének használatát. Az arányosság elve alkalmazhatóságának feltételeit a Bank folyamatosan nyomon </w:t>
      </w:r>
      <w:r w:rsidRPr="009C17BC">
        <w:rPr>
          <w:rFonts w:cstheme="minorHAnsi"/>
        </w:rPr>
        <w:lastRenderedPageBreak/>
        <w:t xml:space="preserve">követi. A Kockázatkezelési és </w:t>
      </w:r>
      <w:proofErr w:type="spellStart"/>
      <w:r w:rsidRPr="009C17BC">
        <w:rPr>
          <w:rFonts w:cstheme="minorHAnsi"/>
        </w:rPr>
        <w:t>Work</w:t>
      </w:r>
      <w:proofErr w:type="spellEnd"/>
      <w:r w:rsidRPr="009C17BC">
        <w:rPr>
          <w:rFonts w:cstheme="minorHAnsi"/>
        </w:rPr>
        <w:t xml:space="preserve">-Out Szakterület, valamint a Kontrolling és Tőkemenedzsment Szakterület feladata vizsgálni és visszaigazolni, hogy a Bank megfelel a kis méretű, nem összetett intézmény besorolásnak és a Hpt. fentiekben hivatkozott rendelkezéseiben előírt kritériumoknak </w:t>
      </w:r>
    </w:p>
    <w:p w14:paraId="45B86227" w14:textId="77777777" w:rsidR="003F06BA" w:rsidRPr="009C17BC" w:rsidRDefault="003F06BA" w:rsidP="003336E1">
      <w:pPr>
        <w:spacing w:after="0"/>
        <w:jc w:val="both"/>
        <w:rPr>
          <w:rFonts w:cstheme="minorHAnsi"/>
        </w:rPr>
      </w:pPr>
    </w:p>
    <w:p w14:paraId="4D9A4497" w14:textId="77777777" w:rsidR="003F06BA" w:rsidRPr="009C17BC" w:rsidRDefault="003F06BA" w:rsidP="003336E1">
      <w:pPr>
        <w:spacing w:line="240" w:lineRule="auto"/>
        <w:jc w:val="both"/>
        <w:rPr>
          <w:rFonts w:cstheme="minorHAnsi"/>
        </w:rPr>
      </w:pPr>
      <w:r w:rsidRPr="009C17BC">
        <w:rPr>
          <w:rFonts w:cstheme="minorHAnsi"/>
        </w:rPr>
        <w:t>A Javadalmazási Politika a Bank minden vezető állású személyére és munkaviszonyban álló munkavállalójára kiterjed, az általános szabályokon túl a Hpt. 117. § (2) és (2a) bekezdés jogszabályhelyeken meghatározott azonosított személyi körre vonatkozó speciális szabályokat is meghatároz.</w:t>
      </w:r>
    </w:p>
    <w:p w14:paraId="32462734" w14:textId="6ADC220A" w:rsidR="003F06BA" w:rsidRPr="009C17BC" w:rsidRDefault="003F06BA" w:rsidP="003336E1">
      <w:pPr>
        <w:spacing w:line="240" w:lineRule="auto"/>
        <w:jc w:val="both"/>
        <w:rPr>
          <w:rFonts w:cstheme="minorHAnsi"/>
        </w:rPr>
      </w:pPr>
      <w:r w:rsidRPr="009C17BC">
        <w:rPr>
          <w:rFonts w:cstheme="minorHAnsi"/>
        </w:rPr>
        <w:t xml:space="preserve">A kockázatvállalásra jelentős hatást gyakorló vezető állású személyek és munkavállalók körébe azok tartoznak, akik teljesítik az EU 2021/923 rendelet 5. cikkében rögzített minőségi, vagy e rendelet 6. cikkében rögzített mennyiségi kritériumok bármelyikét. </w:t>
      </w:r>
    </w:p>
    <w:p w14:paraId="485AC145" w14:textId="77777777" w:rsidR="003F06BA" w:rsidRPr="009C17BC" w:rsidRDefault="003F06BA" w:rsidP="003336E1">
      <w:pPr>
        <w:spacing w:after="0" w:line="240" w:lineRule="auto"/>
        <w:jc w:val="both"/>
        <w:rPr>
          <w:rFonts w:cstheme="minorHAnsi"/>
        </w:rPr>
      </w:pPr>
      <w:r w:rsidRPr="009C17BC">
        <w:rPr>
          <w:rFonts w:cstheme="minorHAnsi"/>
        </w:rPr>
        <w:t>A Bank a kockázatvállalásra lényeges hatást gyakorló személyek körének meghatározásakor az alábbi feltételeket vizsgálja:</w:t>
      </w:r>
    </w:p>
    <w:p w14:paraId="5CB54390" w14:textId="77777777" w:rsidR="003F06BA" w:rsidRPr="009C17BC" w:rsidRDefault="003F06BA" w:rsidP="003336E1">
      <w:pPr>
        <w:pStyle w:val="Listaszerbekezds"/>
        <w:numPr>
          <w:ilvl w:val="0"/>
          <w:numId w:val="9"/>
        </w:numPr>
        <w:spacing w:line="240" w:lineRule="auto"/>
        <w:jc w:val="both"/>
        <w:rPr>
          <w:rFonts w:cstheme="minorHAnsi"/>
        </w:rPr>
      </w:pPr>
      <w:r w:rsidRPr="009C17BC">
        <w:rPr>
          <w:rFonts w:cstheme="minorHAnsi"/>
        </w:rPr>
        <w:t>mely munkavállalók minősülnek vezető állású munkavállalónak,</w:t>
      </w:r>
    </w:p>
    <w:p w14:paraId="30EDE0CD" w14:textId="1A12CAED" w:rsidR="003F06BA" w:rsidRPr="009C17BC" w:rsidRDefault="003F06BA" w:rsidP="003336E1">
      <w:pPr>
        <w:pStyle w:val="Listaszerbekezds"/>
        <w:numPr>
          <w:ilvl w:val="0"/>
          <w:numId w:val="9"/>
        </w:numPr>
        <w:spacing w:line="240" w:lineRule="auto"/>
        <w:jc w:val="both"/>
        <w:rPr>
          <w:rFonts w:cstheme="minorHAnsi"/>
        </w:rPr>
      </w:pPr>
      <w:r w:rsidRPr="009C17BC">
        <w:rPr>
          <w:rFonts w:cstheme="minorHAnsi"/>
        </w:rPr>
        <w:t>mely munkavállalók kerülnek beazonosításra az EU 2021/923 rendelet alapján,</w:t>
      </w:r>
    </w:p>
    <w:p w14:paraId="30D5EB1F" w14:textId="77777777" w:rsidR="003F06BA" w:rsidRPr="009C17BC" w:rsidRDefault="003F06BA" w:rsidP="003336E1">
      <w:pPr>
        <w:pStyle w:val="Listaszerbekezds"/>
        <w:numPr>
          <w:ilvl w:val="0"/>
          <w:numId w:val="9"/>
        </w:numPr>
        <w:spacing w:line="240" w:lineRule="auto"/>
        <w:jc w:val="both"/>
        <w:rPr>
          <w:rFonts w:cstheme="minorHAnsi"/>
        </w:rPr>
      </w:pPr>
      <w:r w:rsidRPr="009C17BC">
        <w:rPr>
          <w:rFonts w:cstheme="minorHAnsi"/>
        </w:rPr>
        <w:t>mely munkavállalók gyakorolnak lényeges hatást az intézmény eredményére és mérlegfőösszegére,</w:t>
      </w:r>
    </w:p>
    <w:p w14:paraId="20FD282F" w14:textId="08E98EDB" w:rsidR="003F06BA" w:rsidRPr="009C17BC" w:rsidRDefault="003F06BA" w:rsidP="00961058">
      <w:pPr>
        <w:pStyle w:val="Listaszerbekezds"/>
        <w:numPr>
          <w:ilvl w:val="0"/>
          <w:numId w:val="9"/>
        </w:numPr>
        <w:spacing w:line="240" w:lineRule="auto"/>
        <w:jc w:val="both"/>
        <w:rPr>
          <w:rFonts w:cstheme="minorHAnsi"/>
        </w:rPr>
      </w:pPr>
      <w:r w:rsidRPr="009C17BC">
        <w:rPr>
          <w:rFonts w:cstheme="minorHAnsi"/>
        </w:rPr>
        <w:t>mely előző pénzügyi évben magas teljesítményjavadalmazásban részesült munkavállaló javadalmazása legalább százötvenmillió forint és legalább a vezető állású személyek részére juttatott átlagos javadalmazás, aki szakmai tevékenységét valamelyik lényeges szervezeti egységben végzi, ahol a tevékenysége olyan jellegű, amely jelentős hatást gyakorol az érintett szervezeti egység kockázati profiljára,</w:t>
      </w:r>
    </w:p>
    <w:p w14:paraId="2AFB63B3" w14:textId="77777777" w:rsidR="003F06BA" w:rsidRPr="009C17BC" w:rsidRDefault="003F06BA" w:rsidP="003336E1">
      <w:pPr>
        <w:pStyle w:val="Listaszerbekezds"/>
        <w:numPr>
          <w:ilvl w:val="0"/>
          <w:numId w:val="9"/>
        </w:numPr>
        <w:spacing w:line="240" w:lineRule="auto"/>
        <w:jc w:val="both"/>
        <w:rPr>
          <w:rFonts w:cstheme="minorHAnsi"/>
        </w:rPr>
      </w:pPr>
      <w:r w:rsidRPr="009C17BC">
        <w:rPr>
          <w:rFonts w:cstheme="minorHAnsi"/>
        </w:rPr>
        <w:t>mely munkavállalók látnak el belső kontroll funkciót (</w:t>
      </w:r>
      <w:proofErr w:type="spellStart"/>
      <w:r w:rsidRPr="009C17BC">
        <w:rPr>
          <w:rFonts w:cstheme="minorHAnsi"/>
        </w:rPr>
        <w:t>compliance</w:t>
      </w:r>
      <w:proofErr w:type="spellEnd"/>
      <w:r w:rsidRPr="009C17BC">
        <w:rPr>
          <w:rFonts w:cstheme="minorHAnsi"/>
        </w:rPr>
        <w:t>, belső ellenőrzés, kockázatellenőrzés)</w:t>
      </w:r>
    </w:p>
    <w:p w14:paraId="092C8E97" w14:textId="77777777" w:rsidR="003F06BA" w:rsidRPr="009C17BC" w:rsidRDefault="003F06BA" w:rsidP="003336E1">
      <w:pPr>
        <w:pStyle w:val="Listaszerbekezds"/>
        <w:numPr>
          <w:ilvl w:val="0"/>
          <w:numId w:val="9"/>
        </w:numPr>
        <w:spacing w:line="240" w:lineRule="auto"/>
        <w:jc w:val="both"/>
        <w:rPr>
          <w:rFonts w:cstheme="minorHAnsi"/>
        </w:rPr>
      </w:pPr>
      <w:r w:rsidRPr="009C17BC">
        <w:rPr>
          <w:rFonts w:cstheme="minorHAnsi"/>
        </w:rPr>
        <w:t>mely munkavállalók a lényeges szervezeti egységekért vezetői felelősséggel tartozó munkavállalók</w:t>
      </w:r>
    </w:p>
    <w:p w14:paraId="0D66F20D" w14:textId="77777777" w:rsidR="003F06BA" w:rsidRPr="009C17BC" w:rsidRDefault="003F06BA" w:rsidP="003336E1">
      <w:pPr>
        <w:spacing w:line="240" w:lineRule="auto"/>
        <w:jc w:val="both"/>
        <w:rPr>
          <w:rFonts w:cstheme="minorHAnsi"/>
        </w:rPr>
      </w:pPr>
      <w:r w:rsidRPr="009C17BC">
        <w:rPr>
          <w:rFonts w:cstheme="minorHAnsi"/>
        </w:rPr>
        <w:t xml:space="preserve">Annak megállapításához, hogy mely munkavállalók szakmai tevékenységei gyakorolnak jelentős hatást a Bank kockázati profiljára, az EU 2021/923 rendelet 3. és 4. cikkében foglalt szempontokat is figyelembe kell venni. </w:t>
      </w:r>
    </w:p>
    <w:p w14:paraId="4160A33B" w14:textId="5DFFB226" w:rsidR="003F06BA" w:rsidRPr="009C17BC" w:rsidRDefault="003F06BA" w:rsidP="003336E1">
      <w:pPr>
        <w:spacing w:line="240" w:lineRule="auto"/>
        <w:jc w:val="both"/>
        <w:rPr>
          <w:rFonts w:cstheme="minorHAnsi"/>
        </w:rPr>
      </w:pPr>
      <w:r w:rsidRPr="009C17BC">
        <w:rPr>
          <w:rFonts w:cstheme="minorHAnsi"/>
        </w:rPr>
        <w:t xml:space="preserve">Az azonosítást éves gyakorisággal el kell végezni, annak dokumentált eredményét az MNB  ajánlásban előírtak szerint 5 évig meg kell őrizni. A dokumentációt az MNB ajánlásban szereplő szempontok szerint kell elkészíteni. Az azonosítást évenként egyszer kell elvégezni, továbbá személyi változás esetén a változáskor is el kell készíteni az azonosítást. Az azonosított személyekről a javadalmazási politika éves felülvizsgálata során dönt a Bank Felügyelő Bizottsága. </w:t>
      </w:r>
      <w:r w:rsidRPr="009C17BC">
        <w:rPr>
          <w:rFonts w:cstheme="minorHAnsi"/>
          <w:highlight w:val="yellow"/>
        </w:rPr>
        <w:t xml:space="preserve">A Humánerőforrás Osztály készíti elő a beazonosítást a Felügyelő Bizottság számára a </w:t>
      </w:r>
      <w:proofErr w:type="spellStart"/>
      <w:r w:rsidRPr="009C17BC">
        <w:rPr>
          <w:rFonts w:cstheme="minorHAnsi"/>
          <w:highlight w:val="yellow"/>
        </w:rPr>
        <w:t>Compliance</w:t>
      </w:r>
      <w:proofErr w:type="spellEnd"/>
      <w:r w:rsidRPr="009C17BC">
        <w:rPr>
          <w:rFonts w:cstheme="minorHAnsi"/>
          <w:highlight w:val="yellow"/>
        </w:rPr>
        <w:t xml:space="preserve"> Osztály, a Jogi Szakterület, Belső Ellenőrzési Szakterület valamint a Kockázatkezelési és </w:t>
      </w:r>
      <w:proofErr w:type="spellStart"/>
      <w:r w:rsidRPr="009C17BC">
        <w:rPr>
          <w:rFonts w:cstheme="minorHAnsi"/>
          <w:highlight w:val="yellow"/>
        </w:rPr>
        <w:t>Work</w:t>
      </w:r>
      <w:proofErr w:type="spellEnd"/>
      <w:r w:rsidRPr="009C17BC">
        <w:rPr>
          <w:rFonts w:cstheme="minorHAnsi"/>
          <w:highlight w:val="yellow"/>
        </w:rPr>
        <w:t>-out Szakterület bevonásával.</w:t>
      </w:r>
      <w:r w:rsidRPr="009C17BC">
        <w:rPr>
          <w:rFonts w:cstheme="minorHAnsi"/>
        </w:rPr>
        <w:t xml:space="preserve"> A döntés a következő évi rendes felülvizsgálatig a Felügyelő Bizottsági üléséig marad hatályban. Évközi személyi változás esetén a Felügyelő Bizottság soron kívül dönt az azonosítás kérdésében.</w:t>
      </w:r>
    </w:p>
    <w:p w14:paraId="3362E55A" w14:textId="77777777" w:rsidR="003F06BA" w:rsidRPr="009C17BC" w:rsidRDefault="003F06BA" w:rsidP="003336E1">
      <w:pPr>
        <w:spacing w:line="240" w:lineRule="auto"/>
        <w:jc w:val="both"/>
        <w:rPr>
          <w:rFonts w:cstheme="minorHAnsi"/>
        </w:rPr>
      </w:pPr>
      <w:r w:rsidRPr="009C17BC">
        <w:rPr>
          <w:rFonts w:cstheme="minorHAnsi"/>
        </w:rPr>
        <w:t xml:space="preserve">Abban az esetben, ha az azonosított személyt három hónapot meghaladóan más munkavállaló helyettesíti, vizsgálni kell, hogy a helyettesítő személyre érvényesek-e, vagy érvényesek lehetnek-e </w:t>
      </w:r>
      <w:r w:rsidRPr="009C17BC">
        <w:rPr>
          <w:rStyle w:val="markedcontent"/>
          <w:rFonts w:cstheme="minorHAnsi"/>
        </w:rPr>
        <w:t>az EU 2021/923 rendelet 5. cikkében meghatározott kritériumok</w:t>
      </w:r>
      <w:r w:rsidRPr="009C17BC">
        <w:rPr>
          <w:rFonts w:cstheme="minorHAnsi"/>
        </w:rPr>
        <w:t xml:space="preserve"> Amennyiben  legalább három hónapig igen, azonosított személlyé kell nyilvánítani. </w:t>
      </w:r>
    </w:p>
    <w:p w14:paraId="74057C24" w14:textId="356243A8" w:rsidR="003F06BA" w:rsidRPr="009C17BC" w:rsidRDefault="003F06BA" w:rsidP="003336E1">
      <w:pPr>
        <w:spacing w:line="240" w:lineRule="auto"/>
        <w:jc w:val="both"/>
        <w:rPr>
          <w:rFonts w:cstheme="minorHAnsi"/>
        </w:rPr>
      </w:pPr>
      <w:r w:rsidRPr="009C17BC">
        <w:rPr>
          <w:rFonts w:cstheme="minorHAnsi"/>
        </w:rPr>
        <w:t xml:space="preserve">Az azonosítás során készítendő dokumentációs lapot az </w:t>
      </w:r>
      <w:r w:rsidRPr="009C17BC">
        <w:rPr>
          <w:rFonts w:cstheme="minorHAnsi"/>
          <w:b/>
        </w:rPr>
        <w:t>1. sz. melléklet</w:t>
      </w:r>
      <w:r w:rsidRPr="009C17BC">
        <w:rPr>
          <w:rFonts w:cstheme="minorHAnsi"/>
        </w:rPr>
        <w:t xml:space="preserve"> tartalmazza. </w:t>
      </w:r>
    </w:p>
    <w:p w14:paraId="1178781A" w14:textId="77777777" w:rsidR="003F06BA" w:rsidRPr="009C17BC" w:rsidRDefault="003F06BA" w:rsidP="003336E1">
      <w:pPr>
        <w:spacing w:line="240" w:lineRule="auto"/>
        <w:jc w:val="both"/>
        <w:rPr>
          <w:rFonts w:cstheme="minorHAnsi"/>
        </w:rPr>
      </w:pPr>
      <w:r w:rsidRPr="009C17BC">
        <w:rPr>
          <w:rFonts w:cstheme="minorHAnsi"/>
        </w:rPr>
        <w:t>A javadalmazási politika nemek szempontjából semleges javadalmazási politika, azaz a munkatársak egyenlő munkáért vagy egyenlő értékű munkáért egyenlő díjazásban részesülnek.</w:t>
      </w:r>
    </w:p>
    <w:p w14:paraId="55A43D35" w14:textId="77777777" w:rsidR="003F06BA" w:rsidRPr="009C17BC" w:rsidRDefault="003F06BA" w:rsidP="003336E1">
      <w:pPr>
        <w:spacing w:line="240" w:lineRule="auto"/>
        <w:jc w:val="both"/>
        <w:rPr>
          <w:rFonts w:cstheme="minorHAnsi"/>
        </w:rPr>
      </w:pPr>
      <w:r w:rsidRPr="009C17BC">
        <w:rPr>
          <w:rFonts w:cstheme="minorHAnsi"/>
        </w:rPr>
        <w:t xml:space="preserve">A nemi szempontból semleges javadalmazási politika alkalmazásának nyomon követése érdekében a Bank dokumentálja a pozíció értékét munkavállalói munkakör kategóriákhoz rendelt bérkategóriák </w:t>
      </w:r>
      <w:r w:rsidRPr="009C17BC">
        <w:rPr>
          <w:rFonts w:cstheme="minorHAnsi"/>
        </w:rPr>
        <w:lastRenderedPageBreak/>
        <w:t>meghatározásával, és meghatározza, hogy mely pozíciók minősülnek azonos értékkel bírónak. A Bank figyelembe veszi a pozícióhoz vagy a munkavállalóhoz rendelt tevékenységek, feladatok és kötelességek típusát. A bank a fizetés megállapítása céljából munkakör-besorolási rendszert alkalmaz, elvárás, hogy az a nemek tekintetében azonos kritériumokon alapuljon, és hogy az úgy kerüljön kialakításra, hogy kizárjon mindenfajta megkülönböztetést, többek között a nemen alapuló megkülönböztetést is.</w:t>
      </w:r>
    </w:p>
    <w:p w14:paraId="18CD0A33" w14:textId="77777777" w:rsidR="003F06BA" w:rsidRPr="009C17BC" w:rsidRDefault="003F06BA" w:rsidP="003336E1">
      <w:pPr>
        <w:spacing w:line="240" w:lineRule="auto"/>
        <w:jc w:val="both"/>
        <w:rPr>
          <w:rFonts w:cstheme="minorHAnsi"/>
        </w:rPr>
      </w:pPr>
      <w:r w:rsidRPr="009C17BC">
        <w:rPr>
          <w:rFonts w:cstheme="minorHAnsi"/>
        </w:rPr>
        <w:t>A Bank a személyzet javadalmazásának meghatározásakor nemi szempontból semleges módon további szempontokat is figyelembe vehet. Ilyen szempontok lehetnek többek között a következők:</w:t>
      </w:r>
    </w:p>
    <w:p w14:paraId="0D0D083E" w14:textId="77777777" w:rsidR="003F06BA" w:rsidRPr="009C17BC" w:rsidRDefault="003F06BA" w:rsidP="003336E1">
      <w:pPr>
        <w:spacing w:line="240" w:lineRule="auto"/>
        <w:jc w:val="both"/>
        <w:rPr>
          <w:rFonts w:cstheme="minorHAnsi"/>
        </w:rPr>
      </w:pPr>
      <w:r w:rsidRPr="009C17BC">
        <w:rPr>
          <w:rFonts w:cstheme="minorHAnsi"/>
        </w:rPr>
        <w:t>a) a végzettségre vonatkozó követelmények, szakmai és képzési követelmények, készségek, erőfeszítés és felelősség, elvégzett munka és az érintett feladatok jellege6;</w:t>
      </w:r>
    </w:p>
    <w:p w14:paraId="4801F177" w14:textId="77777777" w:rsidR="003F06BA" w:rsidRPr="009C17BC" w:rsidRDefault="003F06BA" w:rsidP="003336E1">
      <w:pPr>
        <w:spacing w:line="240" w:lineRule="auto"/>
        <w:jc w:val="both"/>
        <w:rPr>
          <w:rFonts w:cstheme="minorHAnsi"/>
        </w:rPr>
      </w:pPr>
      <w:r w:rsidRPr="009C17BC">
        <w:rPr>
          <w:rFonts w:cstheme="minorHAnsi"/>
        </w:rPr>
        <w:t>b) a foglalkoztatás helye és a helyre jellemző megélhetési költségek;</w:t>
      </w:r>
    </w:p>
    <w:p w14:paraId="0D992BE3" w14:textId="77777777" w:rsidR="003F06BA" w:rsidRPr="009C17BC" w:rsidRDefault="003F06BA" w:rsidP="003336E1">
      <w:pPr>
        <w:spacing w:line="240" w:lineRule="auto"/>
        <w:jc w:val="both"/>
        <w:rPr>
          <w:rFonts w:cstheme="minorHAnsi"/>
        </w:rPr>
      </w:pPr>
      <w:r w:rsidRPr="009C17BC">
        <w:rPr>
          <w:rFonts w:cstheme="minorHAnsi"/>
        </w:rPr>
        <w:t>c) a vezető állású személy vagy munkavállaló által a hierarchiában elfoglalt szint, valamint az, hogy vezetői feladatokat lát-e el;</w:t>
      </w:r>
    </w:p>
    <w:p w14:paraId="48356C25" w14:textId="77777777" w:rsidR="003F06BA" w:rsidRPr="009C17BC" w:rsidRDefault="003F06BA" w:rsidP="003336E1">
      <w:pPr>
        <w:spacing w:line="240" w:lineRule="auto"/>
        <w:jc w:val="both"/>
        <w:rPr>
          <w:rFonts w:cstheme="minorHAnsi"/>
        </w:rPr>
      </w:pPr>
      <w:r w:rsidRPr="009C17BC">
        <w:rPr>
          <w:rFonts w:cstheme="minorHAnsi"/>
        </w:rPr>
        <w:t>d) a vezető állású személy vagy munkavállaló iskolai végzettsége;</w:t>
      </w:r>
    </w:p>
    <w:p w14:paraId="4482A8A0" w14:textId="77777777" w:rsidR="003F06BA" w:rsidRPr="009C17BC" w:rsidRDefault="003F06BA" w:rsidP="003336E1">
      <w:pPr>
        <w:spacing w:line="240" w:lineRule="auto"/>
        <w:jc w:val="both"/>
        <w:rPr>
          <w:rFonts w:cstheme="minorHAnsi"/>
        </w:rPr>
      </w:pPr>
      <w:r w:rsidRPr="009C17BC">
        <w:rPr>
          <w:rFonts w:cstheme="minorHAnsi"/>
        </w:rPr>
        <w:t>e) a munkaerőpiacon az egyes pozíciók betöltésére rendelkezésre álló munkavállalók elérhetősége;</w:t>
      </w:r>
    </w:p>
    <w:p w14:paraId="638BCC27" w14:textId="77777777" w:rsidR="003F06BA" w:rsidRPr="009C17BC" w:rsidRDefault="003F06BA" w:rsidP="003336E1">
      <w:pPr>
        <w:spacing w:line="240" w:lineRule="auto"/>
        <w:jc w:val="both"/>
        <w:rPr>
          <w:rFonts w:cstheme="minorHAnsi"/>
        </w:rPr>
      </w:pPr>
      <w:r w:rsidRPr="009C17BC">
        <w:rPr>
          <w:rFonts w:cstheme="minorHAnsi"/>
        </w:rPr>
        <w:t>f) a munkaszerződés jellege, beleértve, hogy határozott idejű vagy határozatlan időre szóló szerződésről van-e szó;</w:t>
      </w:r>
    </w:p>
    <w:p w14:paraId="0523DFB2" w14:textId="77777777" w:rsidR="003F06BA" w:rsidRPr="009C17BC" w:rsidRDefault="003F06BA" w:rsidP="003336E1">
      <w:pPr>
        <w:spacing w:line="240" w:lineRule="auto"/>
        <w:jc w:val="both"/>
        <w:rPr>
          <w:rFonts w:cstheme="minorHAnsi"/>
        </w:rPr>
      </w:pPr>
      <w:r w:rsidRPr="009C17BC">
        <w:rPr>
          <w:rFonts w:cstheme="minorHAnsi"/>
        </w:rPr>
        <w:t>g) a vezető állású személy vagy munkavállaló szakmai tapasztalata;</w:t>
      </w:r>
    </w:p>
    <w:p w14:paraId="4C4955E1" w14:textId="77777777" w:rsidR="003F06BA" w:rsidRPr="009C17BC" w:rsidRDefault="003F06BA" w:rsidP="003336E1">
      <w:pPr>
        <w:spacing w:line="240" w:lineRule="auto"/>
        <w:jc w:val="both"/>
        <w:rPr>
          <w:rFonts w:cstheme="minorHAnsi"/>
        </w:rPr>
      </w:pPr>
      <w:r w:rsidRPr="009C17BC">
        <w:rPr>
          <w:rFonts w:cstheme="minorHAnsi"/>
        </w:rPr>
        <w:t>h) a vezető állású személy vagy munkavállaló szakmai képesítései;</w:t>
      </w:r>
    </w:p>
    <w:p w14:paraId="347064A4" w14:textId="77777777" w:rsidR="003F06BA" w:rsidRPr="009C17BC" w:rsidRDefault="003F06BA" w:rsidP="003336E1">
      <w:pPr>
        <w:spacing w:line="240" w:lineRule="auto"/>
        <w:jc w:val="both"/>
        <w:rPr>
          <w:rFonts w:cstheme="minorHAnsi"/>
        </w:rPr>
      </w:pPr>
      <w:r w:rsidRPr="009C17BC">
        <w:rPr>
          <w:rFonts w:cstheme="minorHAnsi"/>
        </w:rPr>
        <w:t>i) egyéb juttatások, többek között további/kiegészítő támogatások és ellátások fizetése a házastárssal, bejegyzett élettárssal vagy eltartott családtagokkal rendelkező munkavállalók számára.</w:t>
      </w:r>
    </w:p>
    <w:p w14:paraId="44E47313" w14:textId="38D8A002" w:rsidR="003F06BA" w:rsidRPr="009C17BC" w:rsidRDefault="003F06BA" w:rsidP="003336E1">
      <w:pPr>
        <w:spacing w:line="240" w:lineRule="auto"/>
        <w:jc w:val="both"/>
        <w:rPr>
          <w:rFonts w:cstheme="minorHAnsi"/>
          <w:b/>
          <w:bCs/>
        </w:rPr>
      </w:pPr>
      <w:r w:rsidRPr="009C17BC">
        <w:rPr>
          <w:rFonts w:cstheme="minorHAnsi"/>
          <w:b/>
          <w:bCs/>
        </w:rPr>
        <w:t>Tárgyi hatály:</w:t>
      </w:r>
    </w:p>
    <w:p w14:paraId="539AFB7A" w14:textId="53A176D3" w:rsidR="003F06BA" w:rsidRPr="0019709F" w:rsidRDefault="0019709F" w:rsidP="00BA3C5B">
      <w:pPr>
        <w:pStyle w:val="Listaszerbekezds"/>
        <w:spacing w:before="100" w:beforeAutospacing="1" w:after="100" w:afterAutospacing="1" w:line="240" w:lineRule="auto"/>
        <w:ind w:left="0"/>
        <w:jc w:val="both"/>
        <w:rPr>
          <w:rFonts w:cstheme="minorHAnsi"/>
        </w:rPr>
      </w:pPr>
      <w:r w:rsidRPr="0019709F">
        <w:rPr>
          <w:rFonts w:cstheme="minorHAnsi"/>
        </w:rPr>
        <w:t>A Javadalmazási Politika a Bank vezető állású személyeinek és munkavállalóinak díjazására, tevékenységük értékelésére és ösztönzésére terjed ki.</w:t>
      </w:r>
      <w:r w:rsidR="00BA3C5B">
        <w:rPr>
          <w:rFonts w:cstheme="minorHAnsi"/>
        </w:rPr>
        <w:t xml:space="preserve"> </w:t>
      </w:r>
      <w:r w:rsidR="00E80DAA" w:rsidRPr="0019709F">
        <w:rPr>
          <w:rFonts w:cstheme="minorHAnsi"/>
        </w:rPr>
        <w:t>Jelen szabályzat éves felülvizsgálatáért a Humánerőforrás Osztály felel, a szabályzatban rögzített társterületek bevonásával.</w:t>
      </w:r>
    </w:p>
    <w:p w14:paraId="48F7267B" w14:textId="7B68BCF7" w:rsidR="00655B5E" w:rsidRPr="009C17BC" w:rsidRDefault="00655B5E" w:rsidP="003336E1">
      <w:pPr>
        <w:pStyle w:val="Cmsor1"/>
        <w:numPr>
          <w:ilvl w:val="0"/>
          <w:numId w:val="46"/>
        </w:numPr>
        <w:jc w:val="both"/>
        <w:rPr>
          <w:rFonts w:asciiTheme="minorHAnsi" w:hAnsiTheme="minorHAnsi" w:cstheme="minorHAnsi"/>
          <w:b/>
          <w:bCs/>
          <w:sz w:val="22"/>
          <w:szCs w:val="22"/>
        </w:rPr>
      </w:pPr>
      <w:bookmarkStart w:id="29" w:name="_Toc475391653"/>
      <w:bookmarkStart w:id="30" w:name="_Toc475462533"/>
      <w:bookmarkStart w:id="31" w:name="_Toc477517482"/>
      <w:bookmarkStart w:id="32" w:name="_Toc477519452"/>
      <w:bookmarkStart w:id="33" w:name="_Toc478429049"/>
      <w:bookmarkStart w:id="34" w:name="_Toc478429313"/>
      <w:bookmarkStart w:id="35" w:name="_Toc507768728"/>
      <w:bookmarkStart w:id="36" w:name="_Toc513708846"/>
      <w:bookmarkStart w:id="37" w:name="_Toc35924106"/>
      <w:bookmarkStart w:id="38" w:name="_Toc35924568"/>
      <w:bookmarkStart w:id="39" w:name="_Toc36462806"/>
      <w:bookmarkStart w:id="40" w:name="_Toc97908833"/>
      <w:bookmarkStart w:id="41" w:name="_Toc100827402"/>
      <w:bookmarkStart w:id="42" w:name="_Toc147237468"/>
      <w:r w:rsidRPr="009C17BC">
        <w:rPr>
          <w:rFonts w:asciiTheme="minorHAnsi" w:hAnsiTheme="minorHAnsi" w:cstheme="minorHAnsi"/>
          <w:b/>
          <w:bCs/>
          <w:sz w:val="22"/>
          <w:szCs w:val="22"/>
        </w:rPr>
        <w:t>Kapcsolódó jogszabályok, szabályzatok</w:t>
      </w:r>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123CB449" w14:textId="77777777" w:rsidR="00C30708" w:rsidRPr="009C17BC" w:rsidRDefault="00C30708" w:rsidP="003336E1">
      <w:pPr>
        <w:spacing w:after="0" w:line="240" w:lineRule="auto"/>
        <w:ind w:left="360" w:hanging="360"/>
        <w:jc w:val="both"/>
        <w:rPr>
          <w:rFonts w:eastAsiaTheme="minorHAnsi" w:cstheme="minorHAnsi"/>
          <w:u w:val="single"/>
        </w:rPr>
      </w:pPr>
    </w:p>
    <w:p w14:paraId="61D90CE7" w14:textId="12F3136B" w:rsidR="003F06BA" w:rsidRPr="009C17BC" w:rsidRDefault="003F06BA" w:rsidP="003336E1">
      <w:pPr>
        <w:spacing w:after="0" w:line="240" w:lineRule="auto"/>
        <w:ind w:left="360" w:hanging="360"/>
        <w:jc w:val="both"/>
        <w:rPr>
          <w:rFonts w:eastAsiaTheme="minorHAnsi" w:cstheme="minorHAnsi"/>
          <w:u w:val="single"/>
        </w:rPr>
      </w:pPr>
      <w:r w:rsidRPr="009C17BC">
        <w:rPr>
          <w:rFonts w:eastAsiaTheme="minorHAnsi" w:cstheme="minorHAnsi"/>
          <w:u w:val="single"/>
        </w:rPr>
        <w:t>Jogszabályok:</w:t>
      </w:r>
    </w:p>
    <w:p w14:paraId="0F3E29C9" w14:textId="6966BE3C" w:rsidR="003F06BA" w:rsidRPr="009C17BC" w:rsidRDefault="003F06BA" w:rsidP="003336E1">
      <w:pPr>
        <w:numPr>
          <w:ilvl w:val="0"/>
          <w:numId w:val="2"/>
        </w:numPr>
        <w:spacing w:after="0" w:line="240" w:lineRule="auto"/>
        <w:jc w:val="both"/>
        <w:rPr>
          <w:rFonts w:eastAsiaTheme="minorHAnsi" w:cstheme="minorHAnsi"/>
        </w:rPr>
      </w:pPr>
      <w:r w:rsidRPr="009C17BC">
        <w:rPr>
          <w:rFonts w:eastAsiaTheme="minorHAnsi" w:cstheme="minorHAnsi"/>
        </w:rPr>
        <w:t>A hitelintézetekről és a pénzügyi vállalkozásokról szóló 2013. évi CCXXXVII. évi törvény (Hpt.)</w:t>
      </w:r>
    </w:p>
    <w:p w14:paraId="5ED5C1FC" w14:textId="77777777" w:rsidR="003F06BA" w:rsidRPr="009C17BC" w:rsidRDefault="003F06BA" w:rsidP="003336E1">
      <w:pPr>
        <w:numPr>
          <w:ilvl w:val="0"/>
          <w:numId w:val="2"/>
        </w:numPr>
        <w:spacing w:after="0" w:line="240" w:lineRule="auto"/>
        <w:jc w:val="both"/>
        <w:rPr>
          <w:rFonts w:eastAsiaTheme="minorHAnsi" w:cstheme="minorHAnsi"/>
        </w:rPr>
      </w:pPr>
      <w:r w:rsidRPr="009C17BC">
        <w:rPr>
          <w:rFonts w:eastAsiaTheme="minorHAnsi" w:cstheme="minorHAnsi"/>
        </w:rPr>
        <w:t xml:space="preserve">A Magyar Nemzeti Bank 13/2018 (III.6.) számú ajánlása </w:t>
      </w:r>
      <w:r w:rsidRPr="009C17BC">
        <w:rPr>
          <w:rFonts w:cstheme="minorHAnsi"/>
          <w:bCs/>
        </w:rPr>
        <w:t xml:space="preserve">a lakossági banki termékek és szolgáltatások értékesítéséhez kapcsolódó javadalmazási politikáról és az ezzel kapcsolatos belső eljárási szabályokról </w:t>
      </w:r>
    </w:p>
    <w:p w14:paraId="497FC2B4" w14:textId="77777777" w:rsidR="003F06BA" w:rsidRPr="009C17BC" w:rsidRDefault="003F06BA" w:rsidP="003336E1">
      <w:pPr>
        <w:pStyle w:val="Default"/>
        <w:numPr>
          <w:ilvl w:val="0"/>
          <w:numId w:val="2"/>
        </w:numPr>
        <w:jc w:val="both"/>
        <w:rPr>
          <w:rFonts w:asciiTheme="minorHAnsi" w:eastAsiaTheme="minorEastAsia" w:hAnsiTheme="minorHAnsi" w:cstheme="minorHAnsi"/>
          <w:sz w:val="22"/>
          <w:szCs w:val="22"/>
        </w:rPr>
      </w:pPr>
      <w:r w:rsidRPr="009C17BC">
        <w:rPr>
          <w:rFonts w:asciiTheme="minorHAnsi" w:hAnsiTheme="minorHAnsi" w:cstheme="minorHAnsi"/>
          <w:sz w:val="22"/>
          <w:szCs w:val="22"/>
        </w:rPr>
        <w:t>A Magyar Nemzeti Bank 4/2022. (IV.8.) számú ajánlása a hitelintézetekről és a pénzügyi vállalkozásokról szóló törvény szerinti javadalmazási politika alkalmazásáról</w:t>
      </w:r>
    </w:p>
    <w:p w14:paraId="455D4B48" w14:textId="77777777" w:rsidR="003F06BA" w:rsidRPr="009C17BC" w:rsidRDefault="003F06BA" w:rsidP="003336E1">
      <w:pPr>
        <w:numPr>
          <w:ilvl w:val="0"/>
          <w:numId w:val="2"/>
        </w:numPr>
        <w:spacing w:after="0" w:line="240" w:lineRule="auto"/>
        <w:jc w:val="both"/>
        <w:rPr>
          <w:rFonts w:eastAsiaTheme="minorHAnsi" w:cstheme="minorHAnsi"/>
        </w:rPr>
      </w:pPr>
      <w:r w:rsidRPr="009C17BC">
        <w:rPr>
          <w:rFonts w:eastAsiaTheme="minorHAnsi" w:cstheme="minorHAnsi"/>
        </w:rPr>
        <w:t xml:space="preserve">A hitelintézetek tevékenységéhez való hozzáférésről és a hitelintézetek és befektetési vállalkozások </w:t>
      </w:r>
      <w:proofErr w:type="spellStart"/>
      <w:r w:rsidRPr="009C17BC">
        <w:rPr>
          <w:rFonts w:eastAsiaTheme="minorHAnsi" w:cstheme="minorHAnsi"/>
        </w:rPr>
        <w:t>prudenciális</w:t>
      </w:r>
      <w:proofErr w:type="spellEnd"/>
      <w:r w:rsidRPr="009C17BC">
        <w:rPr>
          <w:rFonts w:eastAsiaTheme="minorHAnsi" w:cstheme="minorHAnsi"/>
        </w:rPr>
        <w:t xml:space="preserve"> felügyeletéről, a 2002/87/EK irányelv módosításáról, a 2006/48/EK és a 2006/49/EK irányelv hatályon kívül helyezéséről szóló az Európai Parlament és a Tanács 2013. június 26-i 2013/36/EU irányelve (CRD IV, melyet Magyarország a </w:t>
      </w:r>
      <w:proofErr w:type="spellStart"/>
      <w:r w:rsidRPr="009C17BC">
        <w:rPr>
          <w:rFonts w:eastAsiaTheme="minorHAnsi" w:cstheme="minorHAnsi"/>
        </w:rPr>
        <w:t>Hpt</w:t>
      </w:r>
      <w:proofErr w:type="spellEnd"/>
      <w:r w:rsidRPr="009C17BC">
        <w:rPr>
          <w:rFonts w:eastAsiaTheme="minorHAnsi" w:cstheme="minorHAnsi"/>
        </w:rPr>
        <w:t>-ben implementált)</w:t>
      </w:r>
    </w:p>
    <w:p w14:paraId="271DE578" w14:textId="77777777" w:rsidR="003F06BA" w:rsidRPr="009C17BC" w:rsidRDefault="003F06BA" w:rsidP="003336E1">
      <w:pPr>
        <w:numPr>
          <w:ilvl w:val="0"/>
          <w:numId w:val="2"/>
        </w:numPr>
        <w:spacing w:after="0" w:line="240" w:lineRule="auto"/>
        <w:jc w:val="both"/>
        <w:rPr>
          <w:rFonts w:eastAsiaTheme="minorHAnsi" w:cstheme="minorHAnsi"/>
        </w:rPr>
      </w:pPr>
      <w:r w:rsidRPr="009C17BC">
        <w:rPr>
          <w:rFonts w:eastAsiaTheme="minorHAnsi" w:cstheme="minorHAnsi"/>
        </w:rPr>
        <w:t xml:space="preserve">A hitelintézetekre és befektetési vállalkozásokra vonatkozó </w:t>
      </w:r>
      <w:proofErr w:type="spellStart"/>
      <w:r w:rsidRPr="009C17BC">
        <w:rPr>
          <w:rFonts w:eastAsiaTheme="minorHAnsi" w:cstheme="minorHAnsi"/>
        </w:rPr>
        <w:t>prudenciális</w:t>
      </w:r>
      <w:proofErr w:type="spellEnd"/>
      <w:r w:rsidRPr="009C17BC">
        <w:rPr>
          <w:rFonts w:eastAsiaTheme="minorHAnsi" w:cstheme="minorHAnsi"/>
        </w:rPr>
        <w:t xml:space="preserve"> követelményekről és a 648/2012/EU rendelet módosításáról szóló az Európai Parlament és a Tanács 575/2013/EU rendelete (a továbbiakban: CRR vagy 575/2013/EU rendelet)</w:t>
      </w:r>
    </w:p>
    <w:p w14:paraId="40F8FE0B" w14:textId="77777777" w:rsidR="003F06BA" w:rsidRPr="0050118A" w:rsidRDefault="003F06BA" w:rsidP="003336E1">
      <w:pPr>
        <w:numPr>
          <w:ilvl w:val="0"/>
          <w:numId w:val="2"/>
        </w:numPr>
        <w:spacing w:after="0" w:line="240" w:lineRule="auto"/>
        <w:jc w:val="both"/>
        <w:rPr>
          <w:rFonts w:cstheme="minorHAnsi"/>
        </w:rPr>
      </w:pPr>
      <w:r w:rsidRPr="009C17BC">
        <w:rPr>
          <w:rFonts w:cstheme="minorHAnsi"/>
        </w:rPr>
        <w:lastRenderedPageBreak/>
        <w:t xml:space="preserve">462/2015. (XII. 29.) sz., a jelzáloghitel nyújtásával, közvetítéssel kapcsolatos eljárásra, a </w:t>
      </w:r>
      <w:r w:rsidRPr="0050118A">
        <w:rPr>
          <w:rFonts w:cstheme="minorHAnsi"/>
        </w:rPr>
        <w:t xml:space="preserve">hiteltanácsadásra és a foglalkoztatottak szakmai ismereteire vonatkozó szabályokról szóló Kormányrendelet </w:t>
      </w:r>
    </w:p>
    <w:p w14:paraId="2B36B07B" w14:textId="77777777" w:rsidR="003F06BA" w:rsidRPr="009C17BC" w:rsidRDefault="003F06BA" w:rsidP="003336E1">
      <w:pPr>
        <w:numPr>
          <w:ilvl w:val="0"/>
          <w:numId w:val="2"/>
        </w:numPr>
        <w:spacing w:after="0" w:line="240" w:lineRule="auto"/>
        <w:jc w:val="both"/>
        <w:rPr>
          <w:rFonts w:cstheme="minorHAnsi"/>
        </w:rPr>
      </w:pPr>
      <w:r w:rsidRPr="0050118A">
        <w:rPr>
          <w:rFonts w:cstheme="minorHAnsi"/>
        </w:rPr>
        <w:t xml:space="preserve">A Bizottság </w:t>
      </w:r>
      <w:r w:rsidRPr="0050118A">
        <w:rPr>
          <w:rStyle w:val="lawnum"/>
          <w:rFonts w:cstheme="minorHAnsi"/>
          <w:bCs/>
        </w:rPr>
        <w:t xml:space="preserve">2021. március 25-i </w:t>
      </w:r>
      <w:r w:rsidRPr="0050118A">
        <w:rPr>
          <w:rFonts w:cstheme="minorHAnsi"/>
        </w:rPr>
        <w:t xml:space="preserve">(EU) 2021/923 felhatalmazáson alapuló </w:t>
      </w:r>
      <w:proofErr w:type="spellStart"/>
      <w:r w:rsidRPr="0050118A">
        <w:rPr>
          <w:rFonts w:cstheme="minorHAnsi"/>
        </w:rPr>
        <w:t>rendelete</w:t>
      </w:r>
      <w:r w:rsidRPr="0050118A">
        <w:rPr>
          <w:rStyle w:val="desc"/>
          <w:rFonts w:cstheme="minorHAnsi"/>
          <w:bCs/>
        </w:rPr>
        <w:t>az</w:t>
      </w:r>
      <w:proofErr w:type="spellEnd"/>
      <w:r w:rsidRPr="0050118A">
        <w:rPr>
          <w:rStyle w:val="desc"/>
          <w:rFonts w:cstheme="minorHAnsi"/>
          <w:bCs/>
        </w:rPr>
        <w:t xml:space="preserve"> </w:t>
      </w:r>
      <w:hyperlink r:id="rId8" w:tgtFrame="_blank" w:history="1">
        <w:r w:rsidRPr="0050118A">
          <w:rPr>
            <w:rStyle w:val="Hiperhivatkozs"/>
            <w:rFonts w:cstheme="minorHAnsi"/>
            <w:bCs/>
            <w:color w:val="auto"/>
            <w:u w:val="none"/>
          </w:rPr>
          <w:t>Európai Parlament és a Tanács 2013/36/EU irányelvének</w:t>
        </w:r>
      </w:hyperlink>
      <w:r w:rsidRPr="0050118A">
        <w:rPr>
          <w:rStyle w:val="desc"/>
          <w:rFonts w:cstheme="minorHAnsi"/>
          <w:bCs/>
        </w:rPr>
        <w:t xml:space="preserve"> a vezetői felelősség, az ellenőrzési funkciók, a lényeges szervezeti egységek és az intézmény kockázati profiljára gyakorolt jelentős hatás meghatározására vonatkozó kritériumokat megállapító, valamint az intézmény kockázati profiljára az irányelv </w:t>
      </w:r>
      <w:hyperlink r:id="rId9" w:tgtFrame="_blank" w:history="1">
        <w:r w:rsidRPr="0050118A">
          <w:rPr>
            <w:rStyle w:val="Hiperhivatkozs"/>
            <w:rFonts w:cstheme="minorHAnsi"/>
            <w:bCs/>
            <w:color w:val="auto"/>
            <w:u w:val="none"/>
          </w:rPr>
          <w:t>92. cikkének (3) bekezdésében</w:t>
        </w:r>
      </w:hyperlink>
      <w:r w:rsidRPr="0050118A">
        <w:rPr>
          <w:rStyle w:val="desc"/>
          <w:rFonts w:cstheme="minorHAnsi"/>
          <w:bCs/>
        </w:rPr>
        <w:t xml:space="preserve"> említett munkavállalók vagy munkavállalói kategóriák szakmai tevékenységeinek hatásával összehasonlítható módon ugyanolyan lényeges hatást gyakorló szakmai tevékenységeket végző munkavállalók vagy munkavállalói kategóriák azonosítására vonatkozó kritériumokat megállapító szabályozástechnikai standardok tekintetében történő </w:t>
      </w:r>
      <w:r w:rsidRPr="009C17BC">
        <w:rPr>
          <w:rStyle w:val="desc"/>
          <w:rFonts w:cstheme="minorHAnsi"/>
          <w:bCs/>
        </w:rPr>
        <w:t>kiegészítéséről</w:t>
      </w:r>
    </w:p>
    <w:p w14:paraId="6C1D3945" w14:textId="77777777" w:rsidR="003F06BA" w:rsidRPr="009C17BC" w:rsidRDefault="003F06BA" w:rsidP="003336E1">
      <w:pPr>
        <w:numPr>
          <w:ilvl w:val="0"/>
          <w:numId w:val="2"/>
        </w:numPr>
        <w:spacing w:after="0" w:line="240" w:lineRule="auto"/>
        <w:jc w:val="both"/>
        <w:rPr>
          <w:rFonts w:cstheme="minorHAnsi"/>
        </w:rPr>
      </w:pPr>
      <w:r w:rsidRPr="009C17BC">
        <w:rPr>
          <w:rFonts w:cstheme="minorHAnsi"/>
        </w:rPr>
        <w:t>2012. évi I. törvény, a Munka Törvénykönyvéről</w:t>
      </w:r>
    </w:p>
    <w:p w14:paraId="0A111DED" w14:textId="77777777" w:rsidR="00C30708" w:rsidRPr="009C17BC" w:rsidRDefault="00C30708" w:rsidP="003336E1">
      <w:pPr>
        <w:jc w:val="both"/>
        <w:rPr>
          <w:rFonts w:cstheme="minorHAnsi"/>
        </w:rPr>
      </w:pPr>
    </w:p>
    <w:p w14:paraId="0EE0FD07" w14:textId="77777777" w:rsidR="00BD0FB4" w:rsidRPr="009C17BC" w:rsidRDefault="00BD0FB4" w:rsidP="003336E1">
      <w:pPr>
        <w:jc w:val="both"/>
        <w:rPr>
          <w:rFonts w:cstheme="minorHAnsi"/>
          <w:u w:val="single"/>
        </w:rPr>
      </w:pPr>
    </w:p>
    <w:p w14:paraId="2EFE4E20" w14:textId="77777777" w:rsidR="003F06BA" w:rsidRPr="009C17BC" w:rsidRDefault="003F06BA" w:rsidP="003336E1">
      <w:pPr>
        <w:jc w:val="both"/>
        <w:rPr>
          <w:rFonts w:cstheme="minorHAnsi"/>
          <w:u w:val="single"/>
        </w:rPr>
      </w:pPr>
      <w:r w:rsidRPr="009C17BC">
        <w:rPr>
          <w:rFonts w:cstheme="minorHAnsi"/>
          <w:u w:val="single"/>
        </w:rPr>
        <w:t>Belső szabályzatok:</w:t>
      </w:r>
    </w:p>
    <w:p w14:paraId="6D07EEE0" w14:textId="77777777" w:rsidR="003F06BA" w:rsidRPr="009C17BC" w:rsidRDefault="003F06BA" w:rsidP="003336E1">
      <w:pPr>
        <w:numPr>
          <w:ilvl w:val="0"/>
          <w:numId w:val="2"/>
        </w:numPr>
        <w:spacing w:after="0" w:line="240" w:lineRule="auto"/>
        <w:jc w:val="both"/>
        <w:rPr>
          <w:rFonts w:cstheme="minorHAnsi"/>
        </w:rPr>
      </w:pPr>
      <w:r w:rsidRPr="009C17BC">
        <w:rPr>
          <w:rFonts w:cstheme="minorHAnsi"/>
        </w:rPr>
        <w:t xml:space="preserve">Duna Takarék Bank Zrt. (DTB) központi teljesítményértékelési és mozgóbérezési  rendszerének alapelvei </w:t>
      </w:r>
      <w:r w:rsidRPr="009C17BC">
        <w:rPr>
          <w:rFonts w:cstheme="minorHAnsi"/>
          <w:i/>
        </w:rPr>
        <w:t>(jelen szabályzat 2. sz. melléklete)</w:t>
      </w:r>
    </w:p>
    <w:p w14:paraId="6463EBA1" w14:textId="77777777" w:rsidR="003F06BA" w:rsidRPr="009C17BC" w:rsidRDefault="003F06BA" w:rsidP="003336E1">
      <w:pPr>
        <w:numPr>
          <w:ilvl w:val="0"/>
          <w:numId w:val="2"/>
        </w:numPr>
        <w:spacing w:after="0" w:line="240" w:lineRule="auto"/>
        <w:jc w:val="both"/>
        <w:rPr>
          <w:rFonts w:cstheme="minorHAnsi"/>
        </w:rPr>
      </w:pPr>
      <w:r w:rsidRPr="009C17BC">
        <w:rPr>
          <w:rFonts w:cstheme="minorHAnsi"/>
        </w:rPr>
        <w:t>Duna Kavics egyéni érdekeltségi ösztönző rendszer utasítás</w:t>
      </w:r>
      <w:r w:rsidRPr="009C17BC">
        <w:rPr>
          <w:rFonts w:cstheme="minorHAnsi"/>
          <w:bCs/>
        </w:rPr>
        <w:t xml:space="preserve">, </w:t>
      </w:r>
      <w:r w:rsidRPr="009C17BC">
        <w:rPr>
          <w:rFonts w:cstheme="minorHAnsi"/>
          <w:bCs/>
          <w:i/>
        </w:rPr>
        <w:t>(jelen szabályzat 4. sz. melléklete)</w:t>
      </w:r>
      <w:r w:rsidRPr="009C17BC">
        <w:rPr>
          <w:rFonts w:cstheme="minorHAnsi"/>
          <w:bCs/>
        </w:rPr>
        <w:t xml:space="preserve"> </w:t>
      </w:r>
    </w:p>
    <w:p w14:paraId="68535AD3" w14:textId="77777777" w:rsidR="003F06BA" w:rsidRPr="009C17BC" w:rsidRDefault="003F06BA" w:rsidP="003336E1">
      <w:pPr>
        <w:numPr>
          <w:ilvl w:val="0"/>
          <w:numId w:val="2"/>
        </w:numPr>
        <w:spacing w:after="0" w:line="240" w:lineRule="auto"/>
        <w:jc w:val="both"/>
        <w:rPr>
          <w:rFonts w:cstheme="minorHAnsi"/>
        </w:rPr>
      </w:pPr>
      <w:r w:rsidRPr="009C17BC">
        <w:rPr>
          <w:rFonts w:cstheme="minorHAnsi"/>
        </w:rPr>
        <w:t>Duna Takarék Bank Zrt. munkavállalói részére biztosított gépjárművek használatával kapcsolatos utasítás (</w:t>
      </w:r>
      <w:r w:rsidRPr="009C17BC">
        <w:rPr>
          <w:rFonts w:cstheme="minorHAnsi"/>
          <w:bCs/>
          <w:color w:val="000000"/>
        </w:rPr>
        <w:t>84/2021/ÜV</w:t>
      </w:r>
      <w:r w:rsidRPr="009C17BC">
        <w:rPr>
          <w:rFonts w:cstheme="minorHAnsi"/>
          <w:bCs/>
        </w:rPr>
        <w:t>)</w:t>
      </w:r>
      <w:r w:rsidRPr="009C17BC">
        <w:rPr>
          <w:rFonts w:cstheme="minorHAnsi"/>
        </w:rPr>
        <w:t xml:space="preserve"> </w:t>
      </w:r>
    </w:p>
    <w:p w14:paraId="60D03A99" w14:textId="77777777" w:rsidR="003F06BA" w:rsidRPr="009C17BC" w:rsidRDefault="003F06BA" w:rsidP="003336E1">
      <w:pPr>
        <w:numPr>
          <w:ilvl w:val="0"/>
          <w:numId w:val="2"/>
        </w:numPr>
        <w:spacing w:after="0" w:line="240" w:lineRule="auto"/>
        <w:jc w:val="both"/>
        <w:rPr>
          <w:rFonts w:cstheme="minorHAnsi"/>
        </w:rPr>
      </w:pPr>
      <w:r w:rsidRPr="009C17BC">
        <w:rPr>
          <w:rFonts w:cstheme="minorHAnsi"/>
        </w:rPr>
        <w:t>Duna Takarék Bank Zrt. mobil előfizetések és készülékek használatáról szóló eljárási rend (</w:t>
      </w:r>
      <w:r w:rsidRPr="009C17BC">
        <w:rPr>
          <w:rFonts w:cstheme="minorHAnsi"/>
          <w:bCs/>
          <w:color w:val="000000"/>
        </w:rPr>
        <w:t>22/2022/ÜV)</w:t>
      </w:r>
    </w:p>
    <w:p w14:paraId="2F64F9A4" w14:textId="08706EB7" w:rsidR="003F06BA" w:rsidRPr="009C17BC" w:rsidRDefault="003F06BA" w:rsidP="003336E1">
      <w:pPr>
        <w:numPr>
          <w:ilvl w:val="0"/>
          <w:numId w:val="2"/>
        </w:numPr>
        <w:spacing w:after="0" w:line="240" w:lineRule="auto"/>
        <w:jc w:val="both"/>
        <w:rPr>
          <w:rFonts w:cstheme="minorHAnsi"/>
        </w:rPr>
      </w:pPr>
      <w:r w:rsidRPr="009C17BC">
        <w:rPr>
          <w:rFonts w:cstheme="minorHAnsi"/>
        </w:rPr>
        <w:t>Duna Takarék Bank Zrt. Humánerőforrás gazdálkodásra vonatkozó szabályzata (</w:t>
      </w:r>
      <w:r w:rsidR="0019709F">
        <w:rPr>
          <w:rFonts w:cstheme="minorHAnsi"/>
          <w:bCs/>
        </w:rPr>
        <w:t>90/2023</w:t>
      </w:r>
      <w:r w:rsidRPr="009C17BC">
        <w:rPr>
          <w:rFonts w:cstheme="minorHAnsi"/>
          <w:bCs/>
        </w:rPr>
        <w:t>/IG)</w:t>
      </w:r>
    </w:p>
    <w:p w14:paraId="4FC9DE4C" w14:textId="77777777" w:rsidR="003F06BA" w:rsidRPr="009C17BC" w:rsidRDefault="003F06BA" w:rsidP="003336E1">
      <w:pPr>
        <w:numPr>
          <w:ilvl w:val="0"/>
          <w:numId w:val="2"/>
        </w:numPr>
        <w:spacing w:after="0" w:line="240" w:lineRule="auto"/>
        <w:jc w:val="both"/>
        <w:rPr>
          <w:rFonts w:cstheme="minorHAnsi"/>
        </w:rPr>
      </w:pPr>
      <w:r w:rsidRPr="009C17BC">
        <w:rPr>
          <w:rFonts w:cstheme="minorHAnsi"/>
        </w:rPr>
        <w:t>Duna Takarék Bank Zrt. saját munkavállalóinak nyújtott kölcsönre, hitelre és vissza nem térítendő támogatásra vonatkozó szabályzat (10/2022/IG)</w:t>
      </w:r>
    </w:p>
    <w:p w14:paraId="3E0528AB" w14:textId="77777777" w:rsidR="003F06BA" w:rsidRPr="009C17BC" w:rsidRDefault="003F06BA" w:rsidP="003336E1">
      <w:pPr>
        <w:jc w:val="both"/>
        <w:rPr>
          <w:rFonts w:cstheme="minorHAnsi"/>
        </w:rPr>
      </w:pPr>
    </w:p>
    <w:p w14:paraId="32EA5FA4" w14:textId="114841B3" w:rsidR="00655B5E" w:rsidRPr="009C17BC" w:rsidRDefault="00655B5E" w:rsidP="003336E1">
      <w:pPr>
        <w:pStyle w:val="Cmsor1"/>
        <w:numPr>
          <w:ilvl w:val="0"/>
          <w:numId w:val="46"/>
        </w:numPr>
        <w:jc w:val="both"/>
        <w:rPr>
          <w:rFonts w:asciiTheme="minorHAnsi" w:hAnsiTheme="minorHAnsi" w:cstheme="minorHAnsi"/>
          <w:b/>
          <w:bCs/>
          <w:sz w:val="22"/>
          <w:szCs w:val="22"/>
        </w:rPr>
      </w:pPr>
      <w:bookmarkStart w:id="43" w:name="_Toc475391654"/>
      <w:bookmarkStart w:id="44" w:name="_Toc475462534"/>
      <w:bookmarkStart w:id="45" w:name="_Toc477517483"/>
      <w:bookmarkStart w:id="46" w:name="_Toc477519453"/>
      <w:bookmarkStart w:id="47" w:name="_Toc478429050"/>
      <w:bookmarkStart w:id="48" w:name="_Toc478429314"/>
      <w:bookmarkStart w:id="49" w:name="_Toc507768729"/>
      <w:bookmarkStart w:id="50" w:name="_Toc513708847"/>
      <w:bookmarkStart w:id="51" w:name="_Toc35924107"/>
      <w:bookmarkStart w:id="52" w:name="_Toc35924569"/>
      <w:bookmarkStart w:id="53" w:name="_Toc36462807"/>
      <w:bookmarkStart w:id="54" w:name="_Toc97908834"/>
      <w:bookmarkStart w:id="55" w:name="_Toc100827403"/>
      <w:bookmarkStart w:id="56" w:name="_Toc147237469"/>
      <w:r w:rsidRPr="009C17BC">
        <w:rPr>
          <w:rFonts w:asciiTheme="minorHAnsi" w:hAnsiTheme="minorHAnsi" w:cstheme="minorHAnsi"/>
          <w:b/>
          <w:bCs/>
          <w:sz w:val="22"/>
          <w:szCs w:val="22"/>
        </w:rPr>
        <w:t>Általános szabályok, alapelvek</w:t>
      </w:r>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5D45423B" w14:textId="77777777" w:rsidR="003F06BA" w:rsidRPr="009C17BC" w:rsidRDefault="003F06BA" w:rsidP="003336E1">
      <w:pPr>
        <w:pStyle w:val="Listaszerbekezds"/>
        <w:jc w:val="both"/>
        <w:rPr>
          <w:rFonts w:cstheme="minorHAnsi"/>
          <w:b/>
        </w:rPr>
      </w:pPr>
    </w:p>
    <w:p w14:paraId="450AAC9F" w14:textId="77777777" w:rsidR="003F06BA" w:rsidRPr="009C17BC" w:rsidRDefault="003F06BA" w:rsidP="003336E1">
      <w:pPr>
        <w:pStyle w:val="Listaszerbekezds"/>
        <w:spacing w:after="0"/>
        <w:ind w:left="0"/>
        <w:jc w:val="both"/>
        <w:rPr>
          <w:rFonts w:cstheme="minorHAnsi"/>
        </w:rPr>
      </w:pPr>
      <w:r w:rsidRPr="009C17BC">
        <w:rPr>
          <w:rFonts w:cstheme="minorHAnsi"/>
        </w:rPr>
        <w:t>A Javadalmazási Politika célja, hogy a Duna Takarék Bank Zrt. (továbbiakban: Bank) munkavállalói teljesítményének elismerése és ösztönzése összhangban álljon az alábbi alapelvekkel:</w:t>
      </w:r>
    </w:p>
    <w:p w14:paraId="458D2BC6" w14:textId="77777777" w:rsidR="003F06BA" w:rsidRPr="009C17BC" w:rsidRDefault="003F06BA" w:rsidP="003336E1">
      <w:pPr>
        <w:numPr>
          <w:ilvl w:val="0"/>
          <w:numId w:val="2"/>
        </w:numPr>
        <w:spacing w:after="0" w:line="240" w:lineRule="auto"/>
        <w:jc w:val="both"/>
        <w:rPr>
          <w:rFonts w:cstheme="minorHAnsi"/>
        </w:rPr>
      </w:pPr>
      <w:r w:rsidRPr="009C17BC">
        <w:rPr>
          <w:rFonts w:cstheme="minorHAnsi"/>
        </w:rPr>
        <w:t>támogassa a Bank üzleti stratégiáját, célkitűzéseit</w:t>
      </w:r>
    </w:p>
    <w:p w14:paraId="53D526DE" w14:textId="77777777" w:rsidR="003F06BA" w:rsidRPr="009C17BC" w:rsidRDefault="003F06BA" w:rsidP="003336E1">
      <w:pPr>
        <w:numPr>
          <w:ilvl w:val="0"/>
          <w:numId w:val="2"/>
        </w:numPr>
        <w:spacing w:after="0" w:line="240" w:lineRule="auto"/>
        <w:jc w:val="both"/>
        <w:rPr>
          <w:rFonts w:cstheme="minorHAnsi"/>
        </w:rPr>
      </w:pPr>
      <w:r w:rsidRPr="009C17BC">
        <w:rPr>
          <w:rFonts w:cstheme="minorHAnsi"/>
        </w:rPr>
        <w:t xml:space="preserve">tükrözze a Bank közép- és hosszú távú szemléletét, segítse annak megvalósulását </w:t>
      </w:r>
    </w:p>
    <w:p w14:paraId="3340E79E" w14:textId="77777777" w:rsidR="003F06BA" w:rsidRPr="009C17BC" w:rsidRDefault="003F06BA" w:rsidP="003336E1">
      <w:pPr>
        <w:numPr>
          <w:ilvl w:val="0"/>
          <w:numId w:val="2"/>
        </w:numPr>
        <w:spacing w:after="0" w:line="240" w:lineRule="auto"/>
        <w:jc w:val="both"/>
        <w:rPr>
          <w:rFonts w:cstheme="minorHAnsi"/>
        </w:rPr>
      </w:pPr>
      <w:r w:rsidRPr="009C17BC">
        <w:rPr>
          <w:rFonts w:cstheme="minorHAnsi"/>
        </w:rPr>
        <w:t>minden munkavállaló számára világos és átlátható legyen</w:t>
      </w:r>
    </w:p>
    <w:p w14:paraId="5C02717D" w14:textId="77777777" w:rsidR="003F06BA" w:rsidRPr="009C17BC" w:rsidRDefault="003F06BA" w:rsidP="003336E1">
      <w:pPr>
        <w:numPr>
          <w:ilvl w:val="0"/>
          <w:numId w:val="2"/>
        </w:numPr>
        <w:spacing w:after="0" w:line="240" w:lineRule="auto"/>
        <w:jc w:val="both"/>
        <w:rPr>
          <w:rFonts w:cstheme="minorHAnsi"/>
        </w:rPr>
      </w:pPr>
      <w:r w:rsidRPr="009C17BC">
        <w:rPr>
          <w:rFonts w:cstheme="minorHAnsi"/>
        </w:rPr>
        <w:t>összhangban álljon a Bank kockázati profiljával és elősegítse a hatékony kockázatkezelés érvényesülését</w:t>
      </w:r>
    </w:p>
    <w:p w14:paraId="64C8A120" w14:textId="77777777" w:rsidR="003F06BA" w:rsidRPr="009C17BC" w:rsidRDefault="003F06BA" w:rsidP="003336E1">
      <w:pPr>
        <w:numPr>
          <w:ilvl w:val="0"/>
          <w:numId w:val="2"/>
        </w:numPr>
        <w:spacing w:after="0" w:line="240" w:lineRule="auto"/>
        <w:jc w:val="both"/>
        <w:rPr>
          <w:rFonts w:cstheme="minorHAnsi"/>
        </w:rPr>
      </w:pPr>
      <w:r w:rsidRPr="009C17BC">
        <w:rPr>
          <w:rFonts w:cstheme="minorHAnsi"/>
        </w:rPr>
        <w:t>támogassa a Bankot a stabil tőkehelyzet elérésében és fenntartásában</w:t>
      </w:r>
    </w:p>
    <w:p w14:paraId="7FDA24DC" w14:textId="77777777" w:rsidR="003F06BA" w:rsidRPr="009C17BC" w:rsidRDefault="003F06BA" w:rsidP="003336E1">
      <w:pPr>
        <w:spacing w:after="0" w:line="240" w:lineRule="auto"/>
        <w:ind w:left="1440"/>
        <w:jc w:val="both"/>
        <w:rPr>
          <w:rFonts w:cstheme="minorHAnsi"/>
        </w:rPr>
      </w:pPr>
    </w:p>
    <w:p w14:paraId="6EC4FCC3" w14:textId="77777777" w:rsidR="003F06BA" w:rsidRPr="009C17BC" w:rsidRDefault="003F06BA" w:rsidP="003336E1">
      <w:pPr>
        <w:spacing w:after="240" w:line="240" w:lineRule="auto"/>
        <w:jc w:val="both"/>
        <w:rPr>
          <w:rFonts w:cstheme="minorHAnsi"/>
        </w:rPr>
      </w:pPr>
      <w:r w:rsidRPr="009C17BC">
        <w:rPr>
          <w:rFonts w:cstheme="minorHAnsi"/>
        </w:rPr>
        <w:t xml:space="preserve">A Bank alapvető célja, hogy munkatársait a minőségi munkavégzés mellett a teljesítmény növelésére is ösztönözze és a dolgozókat érdekeltté tegye a Bank hosszú távú eredményes működésében. </w:t>
      </w:r>
    </w:p>
    <w:p w14:paraId="1621B3F6" w14:textId="33285470" w:rsidR="003F06BA" w:rsidRPr="009C17BC" w:rsidRDefault="003F06BA" w:rsidP="003336E1">
      <w:pPr>
        <w:spacing w:line="240" w:lineRule="auto"/>
        <w:jc w:val="both"/>
        <w:rPr>
          <w:rFonts w:cstheme="minorHAnsi"/>
        </w:rPr>
      </w:pPr>
      <w:r w:rsidRPr="009C17BC">
        <w:rPr>
          <w:rFonts w:cstheme="minorHAnsi"/>
        </w:rPr>
        <w:t xml:space="preserve">Az azonosított munkavállalói körbe tartozó vezető állású személyek és munkavállalók nem köthetnek olyan fedezeti ügyletet, amely a javadalmazásukra vonatkozó előírásokban foglalt kockázatvállalások hatásait kiküszöbölné, vagy harmadik személyre áthárítaná. </w:t>
      </w:r>
    </w:p>
    <w:p w14:paraId="4296F5D7" w14:textId="77777777" w:rsidR="00C30708" w:rsidRPr="009C17BC" w:rsidRDefault="00B51692" w:rsidP="003336E1">
      <w:pPr>
        <w:pStyle w:val="Cmsor2"/>
        <w:jc w:val="both"/>
        <w:rPr>
          <w:rFonts w:asciiTheme="minorHAnsi" w:hAnsiTheme="minorHAnsi" w:cstheme="minorHAnsi"/>
          <w:b/>
          <w:bCs/>
          <w:color w:val="1F4E79" w:themeColor="accent1" w:themeShade="80"/>
          <w:sz w:val="22"/>
          <w:szCs w:val="22"/>
        </w:rPr>
      </w:pPr>
      <w:bookmarkStart w:id="57" w:name="_Toc475391655"/>
      <w:bookmarkStart w:id="58" w:name="_Toc475462535"/>
      <w:bookmarkStart w:id="59" w:name="_Toc477517484"/>
      <w:bookmarkStart w:id="60" w:name="_Toc477519454"/>
      <w:bookmarkStart w:id="61" w:name="_Toc478429051"/>
      <w:bookmarkStart w:id="62" w:name="_Toc478429315"/>
      <w:bookmarkStart w:id="63" w:name="_Toc507768730"/>
      <w:bookmarkStart w:id="64" w:name="_Toc513708848"/>
      <w:bookmarkStart w:id="65" w:name="_Toc35924108"/>
      <w:bookmarkStart w:id="66" w:name="_Toc35924570"/>
      <w:bookmarkStart w:id="67" w:name="_Toc36462808"/>
      <w:bookmarkStart w:id="68" w:name="_Toc97908835"/>
      <w:bookmarkStart w:id="69" w:name="_Toc100827404"/>
      <w:bookmarkStart w:id="70" w:name="_Toc147237470"/>
      <w:r w:rsidRPr="009C17BC">
        <w:rPr>
          <w:rFonts w:asciiTheme="minorHAnsi" w:hAnsiTheme="minorHAnsi" w:cstheme="minorHAnsi"/>
          <w:b/>
          <w:bCs/>
          <w:color w:val="1F4E79" w:themeColor="accent1" w:themeShade="80"/>
          <w:sz w:val="22"/>
          <w:szCs w:val="22"/>
        </w:rPr>
        <w:lastRenderedPageBreak/>
        <w:t xml:space="preserve">5.1 </w:t>
      </w:r>
      <w:r w:rsidR="00655B5E" w:rsidRPr="009C17BC">
        <w:rPr>
          <w:rFonts w:asciiTheme="minorHAnsi" w:hAnsiTheme="minorHAnsi" w:cstheme="minorHAnsi"/>
          <w:b/>
          <w:bCs/>
          <w:color w:val="1F4E79" w:themeColor="accent1" w:themeShade="80"/>
          <w:sz w:val="22"/>
          <w:szCs w:val="22"/>
        </w:rPr>
        <w:t>Fogalmak</w:t>
      </w:r>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0A765871" w14:textId="77777777" w:rsidR="00C30708" w:rsidRPr="009C17BC" w:rsidRDefault="00C30708" w:rsidP="003336E1">
      <w:pPr>
        <w:pStyle w:val="Cmsor2"/>
        <w:jc w:val="both"/>
        <w:rPr>
          <w:rFonts w:asciiTheme="minorHAnsi" w:hAnsiTheme="minorHAnsi" w:cstheme="minorHAnsi"/>
          <w:sz w:val="22"/>
          <w:szCs w:val="22"/>
        </w:rPr>
      </w:pPr>
    </w:p>
    <w:p w14:paraId="5E1FA049" w14:textId="7E550674" w:rsidR="00BA3C5B" w:rsidRPr="00BA3C5B" w:rsidRDefault="00AA27CC" w:rsidP="00BA3C5B">
      <w:pPr>
        <w:pStyle w:val="Cmsor2"/>
        <w:jc w:val="both"/>
        <w:rPr>
          <w:rFonts w:asciiTheme="minorHAnsi" w:eastAsiaTheme="minorHAnsi" w:hAnsiTheme="minorHAnsi" w:cstheme="minorHAnsi"/>
          <w:color w:val="auto"/>
          <w:sz w:val="22"/>
          <w:szCs w:val="22"/>
        </w:rPr>
      </w:pPr>
      <w:bookmarkStart w:id="71" w:name="_Toc144110640"/>
      <w:bookmarkStart w:id="72" w:name="_Toc147237471"/>
      <w:r w:rsidRPr="009C17BC">
        <w:rPr>
          <w:rFonts w:asciiTheme="minorHAnsi" w:hAnsiTheme="minorHAnsi" w:cstheme="minorHAnsi"/>
          <w:color w:val="auto"/>
          <w:sz w:val="22"/>
          <w:szCs w:val="22"/>
        </w:rPr>
        <w:t>A</w:t>
      </w:r>
      <w:r w:rsidRPr="009C17BC">
        <w:rPr>
          <w:rFonts w:asciiTheme="minorHAnsi" w:eastAsiaTheme="minorHAnsi" w:hAnsiTheme="minorHAnsi" w:cstheme="minorHAnsi"/>
          <w:color w:val="auto"/>
          <w:sz w:val="22"/>
          <w:szCs w:val="22"/>
        </w:rPr>
        <w:t xml:space="preserve"> szabályzat helyes értelmezéséhez az alábbi fogalmakat kell figyelembe venni:</w:t>
      </w:r>
      <w:bookmarkEnd w:id="71"/>
      <w:bookmarkEnd w:id="72"/>
    </w:p>
    <w:p w14:paraId="7D4B987C" w14:textId="77777777" w:rsidR="00AA27CC" w:rsidRPr="009C17BC" w:rsidRDefault="00AA27CC" w:rsidP="00BA3C5B">
      <w:pPr>
        <w:pStyle w:val="Listaszerbekezds"/>
        <w:numPr>
          <w:ilvl w:val="0"/>
          <w:numId w:val="4"/>
        </w:numPr>
        <w:spacing w:after="240" w:line="240" w:lineRule="auto"/>
        <w:jc w:val="both"/>
        <w:rPr>
          <w:rFonts w:eastAsiaTheme="minorHAnsi" w:cstheme="minorHAnsi"/>
        </w:rPr>
      </w:pPr>
      <w:r w:rsidRPr="009C17BC">
        <w:rPr>
          <w:rFonts w:eastAsiaTheme="minorHAnsi" w:cstheme="minorHAnsi"/>
        </w:rPr>
        <w:t xml:space="preserve"> </w:t>
      </w:r>
      <w:r w:rsidRPr="009C17BC">
        <w:rPr>
          <w:rFonts w:eastAsiaTheme="minorHAnsi" w:cstheme="minorHAnsi"/>
          <w:b/>
        </w:rPr>
        <w:t>„Javadalmazás”</w:t>
      </w:r>
      <w:r w:rsidRPr="009C17BC">
        <w:rPr>
          <w:rFonts w:eastAsiaTheme="minorHAnsi" w:cstheme="minorHAnsi"/>
        </w:rPr>
        <w:t xml:space="preserve"> jelentése: a Bank által a vezető állású személy, munkavállaló részére minden, a munkaviszony alapján közvetlenül vagy közvetve, pénzbeli, természetbeni, vagyoni jog, vagy egyéb formában nyújtott juttatás</w:t>
      </w:r>
    </w:p>
    <w:p w14:paraId="5825C229" w14:textId="77777777" w:rsidR="00AA27CC" w:rsidRPr="009C17BC" w:rsidRDefault="00AA27CC" w:rsidP="00BA3C5B">
      <w:pPr>
        <w:pStyle w:val="Listaszerbekezds"/>
        <w:numPr>
          <w:ilvl w:val="0"/>
          <w:numId w:val="4"/>
        </w:numPr>
        <w:spacing w:after="240" w:line="240" w:lineRule="auto"/>
        <w:jc w:val="both"/>
        <w:rPr>
          <w:rFonts w:eastAsiaTheme="minorHAnsi" w:cstheme="minorHAnsi"/>
        </w:rPr>
      </w:pPr>
      <w:r w:rsidRPr="009C17BC">
        <w:rPr>
          <w:rFonts w:eastAsiaTheme="minorHAnsi" w:cstheme="minorHAnsi"/>
        </w:rPr>
        <w:t xml:space="preserve"> </w:t>
      </w:r>
      <w:r w:rsidRPr="009C17BC">
        <w:rPr>
          <w:rFonts w:eastAsiaTheme="minorHAnsi" w:cstheme="minorHAnsi"/>
          <w:b/>
        </w:rPr>
        <w:t>„Prémium”</w:t>
      </w:r>
      <w:r w:rsidRPr="009C17BC">
        <w:rPr>
          <w:rFonts w:eastAsiaTheme="minorHAnsi" w:cstheme="minorHAnsi"/>
        </w:rPr>
        <w:t xml:space="preserve"> jelentése: meghatározott személyi kör teljesítményjavadalmazása</w:t>
      </w:r>
    </w:p>
    <w:p w14:paraId="3B967523" w14:textId="77777777" w:rsidR="00AA27CC" w:rsidRPr="009C17BC" w:rsidRDefault="00AA27CC" w:rsidP="00BA3C5B">
      <w:pPr>
        <w:pStyle w:val="Listaszerbekezds"/>
        <w:numPr>
          <w:ilvl w:val="0"/>
          <w:numId w:val="4"/>
        </w:numPr>
        <w:spacing w:after="240" w:line="240" w:lineRule="auto"/>
        <w:jc w:val="both"/>
        <w:rPr>
          <w:rFonts w:eastAsiaTheme="minorHAnsi" w:cstheme="minorHAnsi"/>
        </w:rPr>
      </w:pPr>
      <w:r w:rsidRPr="009C17BC">
        <w:rPr>
          <w:rFonts w:eastAsiaTheme="minorHAnsi" w:cstheme="minorHAnsi"/>
        </w:rPr>
        <w:t xml:space="preserve"> </w:t>
      </w:r>
      <w:r w:rsidRPr="009C17BC">
        <w:rPr>
          <w:rFonts w:eastAsiaTheme="minorHAnsi" w:cstheme="minorHAnsi"/>
          <w:b/>
        </w:rPr>
        <w:t xml:space="preserve">„Célprémium” </w:t>
      </w:r>
      <w:r w:rsidRPr="009C17BC">
        <w:rPr>
          <w:rFonts w:eastAsiaTheme="minorHAnsi" w:cstheme="minorHAnsi"/>
        </w:rPr>
        <w:t>jelentése: előre meghatározott cél kitűzésével realizált üzleti és támogató munkavállalók teljesítményjavadalmazása</w:t>
      </w:r>
    </w:p>
    <w:p w14:paraId="16189C2E" w14:textId="77777777" w:rsidR="00AA27CC" w:rsidRPr="009C17BC" w:rsidRDefault="00AA27CC" w:rsidP="00BA3C5B">
      <w:pPr>
        <w:pStyle w:val="Listaszerbekezds"/>
        <w:numPr>
          <w:ilvl w:val="0"/>
          <w:numId w:val="4"/>
        </w:numPr>
        <w:spacing w:after="240" w:line="240" w:lineRule="auto"/>
        <w:jc w:val="both"/>
        <w:rPr>
          <w:rFonts w:eastAsiaTheme="minorHAnsi" w:cstheme="minorHAnsi"/>
        </w:rPr>
      </w:pPr>
      <w:r w:rsidRPr="009C17BC">
        <w:rPr>
          <w:rFonts w:eastAsiaTheme="minorHAnsi" w:cstheme="minorHAnsi"/>
          <w:b/>
        </w:rPr>
        <w:t>„Jutalék”</w:t>
      </w:r>
      <w:r w:rsidRPr="009C17BC">
        <w:rPr>
          <w:rFonts w:eastAsiaTheme="minorHAnsi" w:cstheme="minorHAnsi"/>
        </w:rPr>
        <w:t xml:space="preserve"> jelentése: termékek értékesítéséhez, kezeléséhez kapcsolódó teljesítményjavadalmazás,</w:t>
      </w:r>
    </w:p>
    <w:p w14:paraId="492C49BB" w14:textId="77777777" w:rsidR="00AA27CC" w:rsidRPr="009C17BC" w:rsidRDefault="00AA27CC" w:rsidP="00BA3C5B">
      <w:pPr>
        <w:pStyle w:val="Listaszerbekezds"/>
        <w:numPr>
          <w:ilvl w:val="0"/>
          <w:numId w:val="4"/>
        </w:numPr>
        <w:spacing w:after="240" w:line="240" w:lineRule="auto"/>
        <w:jc w:val="both"/>
        <w:rPr>
          <w:rFonts w:eastAsiaTheme="minorHAnsi" w:cstheme="minorHAnsi"/>
        </w:rPr>
      </w:pPr>
      <w:r w:rsidRPr="009C17BC">
        <w:rPr>
          <w:rFonts w:eastAsiaTheme="minorHAnsi" w:cstheme="minorHAnsi"/>
          <w:b/>
        </w:rPr>
        <w:t>„Jutalom”</w:t>
      </w:r>
      <w:r w:rsidRPr="009C17BC">
        <w:rPr>
          <w:rFonts w:eastAsiaTheme="minorHAnsi" w:cstheme="minorHAnsi"/>
        </w:rPr>
        <w:t xml:space="preserve"> jelentése: a dolgozók munkájának utólagos elismerése</w:t>
      </w:r>
    </w:p>
    <w:p w14:paraId="43156D8A" w14:textId="77777777" w:rsidR="00AA27CC" w:rsidRPr="009C17BC" w:rsidRDefault="00AA27CC" w:rsidP="00BA3C5B">
      <w:pPr>
        <w:pStyle w:val="Listaszerbekezds"/>
        <w:numPr>
          <w:ilvl w:val="0"/>
          <w:numId w:val="4"/>
        </w:numPr>
        <w:spacing w:after="240" w:line="240" w:lineRule="auto"/>
        <w:jc w:val="both"/>
        <w:rPr>
          <w:rFonts w:cstheme="minorHAnsi"/>
        </w:rPr>
      </w:pPr>
      <w:r w:rsidRPr="009C17BC">
        <w:rPr>
          <w:rFonts w:cstheme="minorHAnsi"/>
          <w:b/>
        </w:rPr>
        <w:t xml:space="preserve">„Alapjavadalmazás” </w:t>
      </w:r>
      <w:r w:rsidRPr="009C17BC">
        <w:rPr>
          <w:rFonts w:cstheme="minorHAnsi"/>
        </w:rPr>
        <w:t>jelentése: a javadalmazás azon része, melyet a Bank és a vezető állású személy/munkavállaló részére munkabérként rendszeresen kifizet a munkaszerződés alapján, és amely megfelelően tükrözi a tisztség betöltéséhez szükséges szakmai tapasztalatokat és felelősséget, ideértve minden olyan juttatást, amelyet más munkavállaló is megkap a vonatkozó belső szabályzatok és eljárások szerint.</w:t>
      </w:r>
    </w:p>
    <w:p w14:paraId="28182279" w14:textId="77777777" w:rsidR="00AA27CC" w:rsidRPr="009C17BC" w:rsidRDefault="00AA27CC" w:rsidP="00BA3C5B">
      <w:pPr>
        <w:pStyle w:val="Listaszerbekezds"/>
        <w:numPr>
          <w:ilvl w:val="0"/>
          <w:numId w:val="4"/>
        </w:numPr>
        <w:spacing w:after="240" w:line="240" w:lineRule="auto"/>
        <w:jc w:val="both"/>
        <w:rPr>
          <w:rFonts w:cstheme="minorHAnsi"/>
        </w:rPr>
      </w:pPr>
      <w:r w:rsidRPr="009C17BC">
        <w:rPr>
          <w:rFonts w:cstheme="minorHAnsi"/>
        </w:rPr>
        <w:t xml:space="preserve"> </w:t>
      </w:r>
      <w:r w:rsidRPr="009C17BC">
        <w:rPr>
          <w:rFonts w:cstheme="minorHAnsi"/>
          <w:b/>
        </w:rPr>
        <w:t>„Teljesítményjavadalmazás”</w:t>
      </w:r>
      <w:r w:rsidRPr="009C17BC">
        <w:rPr>
          <w:rFonts w:cstheme="minorHAnsi"/>
        </w:rPr>
        <w:t xml:space="preserve"> jelentése: a javadalmazás azon része, amelyet a Bank az alapjavadalmazáson felül a vezető állású személy és a munkavállaló részére adhat, a munkaszerződésében meghatározottakat meghaladó teljesítmény nyújtás, vagy abban nem rögzített feladat ellátás esetén.</w:t>
      </w:r>
    </w:p>
    <w:p w14:paraId="40EF3F8B" w14:textId="77777777" w:rsidR="00AA27CC" w:rsidRPr="009C17BC" w:rsidRDefault="00AA27CC" w:rsidP="00BA3C5B">
      <w:pPr>
        <w:pStyle w:val="Listaszerbekezds"/>
        <w:numPr>
          <w:ilvl w:val="0"/>
          <w:numId w:val="4"/>
        </w:numPr>
        <w:spacing w:after="240" w:line="240" w:lineRule="auto"/>
        <w:ind w:left="-360"/>
        <w:jc w:val="both"/>
        <w:rPr>
          <w:rFonts w:cstheme="minorHAnsi"/>
        </w:rPr>
      </w:pPr>
      <w:r w:rsidRPr="009C17BC">
        <w:rPr>
          <w:rFonts w:cstheme="minorHAnsi"/>
          <w:b/>
        </w:rPr>
        <w:t>a Bónuszkeret</w:t>
      </w:r>
      <w:r w:rsidRPr="009C17BC">
        <w:rPr>
          <w:rFonts w:cstheme="minorHAnsi"/>
        </w:rPr>
        <w:t xml:space="preserve"> jelentése: annak a teljesítményjavadalmazásnak az összege, amely a Bank vagy a Bank üzleti egységének szintjén meghatározott megállapítási eljárás során megállapítható,</w:t>
      </w:r>
    </w:p>
    <w:p w14:paraId="35658B31" w14:textId="77777777" w:rsidR="00AA27CC" w:rsidRPr="009C17BC" w:rsidRDefault="00AA27CC" w:rsidP="00BA3C5B">
      <w:pPr>
        <w:pStyle w:val="Listaszerbekezds"/>
        <w:numPr>
          <w:ilvl w:val="0"/>
          <w:numId w:val="4"/>
        </w:numPr>
        <w:spacing w:after="240" w:line="240" w:lineRule="auto"/>
        <w:ind w:left="-360"/>
        <w:jc w:val="both"/>
        <w:rPr>
          <w:rFonts w:cstheme="minorHAnsi"/>
        </w:rPr>
      </w:pPr>
      <w:r w:rsidRPr="009C17BC">
        <w:rPr>
          <w:rFonts w:cstheme="minorHAnsi"/>
        </w:rPr>
        <w:t>az „</w:t>
      </w:r>
      <w:r w:rsidRPr="009C17BC">
        <w:rPr>
          <w:rFonts w:cstheme="minorHAnsi"/>
          <w:b/>
        </w:rPr>
        <w:t>Azonosított munkavállaló”</w:t>
      </w:r>
      <w:r w:rsidRPr="009C17BC">
        <w:rPr>
          <w:rFonts w:cstheme="minorHAnsi"/>
        </w:rPr>
        <w:t xml:space="preserve"> jelentése: az a munkavállaló, akinek a szakmai tevékenysége az (EU) 2021/923 rendeletben meghatározott kritériumokkal és – ha adott esetben szükséges, azon munkavállalók teljes körű azonosítása céljából, akiknek a szakmai tevékenysége lényeges hatást gyakorol a kockázati profilra – az intézmény által meghatározott kritériumokkal összhangban jelentős hatást gyakorol az intézmény egyedi szintű vagy a csoport összevont alapú kockázati profiljára;</w:t>
      </w:r>
    </w:p>
    <w:p w14:paraId="1399AC86" w14:textId="77777777" w:rsidR="00AA27CC" w:rsidRPr="009C17BC" w:rsidRDefault="00AA27CC" w:rsidP="00BA3C5B">
      <w:pPr>
        <w:pStyle w:val="Listaszerbekezds"/>
        <w:numPr>
          <w:ilvl w:val="0"/>
          <w:numId w:val="4"/>
        </w:numPr>
        <w:spacing w:after="240" w:line="240" w:lineRule="auto"/>
        <w:ind w:left="-360"/>
        <w:jc w:val="both"/>
        <w:rPr>
          <w:rFonts w:cstheme="minorHAnsi"/>
        </w:rPr>
      </w:pPr>
      <w:r w:rsidRPr="009C17BC">
        <w:rPr>
          <w:rFonts w:cstheme="minorHAnsi"/>
        </w:rPr>
        <w:t>a „</w:t>
      </w:r>
      <w:r w:rsidRPr="009C17BC">
        <w:rPr>
          <w:rFonts w:cstheme="minorHAnsi"/>
          <w:b/>
        </w:rPr>
        <w:t>végkielégítés</w:t>
      </w:r>
      <w:r w:rsidRPr="009C17BC">
        <w:rPr>
          <w:rFonts w:cstheme="minorHAnsi"/>
        </w:rPr>
        <w:t>” jelentése: az Mt. 77. §-</w:t>
      </w:r>
      <w:proofErr w:type="spellStart"/>
      <w:r w:rsidRPr="009C17BC">
        <w:rPr>
          <w:rFonts w:cstheme="minorHAnsi"/>
        </w:rPr>
        <w:t>ában</w:t>
      </w:r>
      <w:proofErr w:type="spellEnd"/>
      <w:r w:rsidRPr="009C17BC">
        <w:rPr>
          <w:rFonts w:cstheme="minorHAnsi"/>
        </w:rPr>
        <w:t xml:space="preserve"> meghatározott kifizetés, a felmondási időszakhoz kötődő szokásos javadalmazási kifizetések kivételével;</w:t>
      </w:r>
    </w:p>
    <w:p w14:paraId="79B8634D" w14:textId="645DDC64" w:rsidR="00AA27CC" w:rsidRPr="00BA3C5B" w:rsidRDefault="00AA27CC" w:rsidP="003336E1">
      <w:pPr>
        <w:pStyle w:val="Listaszerbekezds"/>
        <w:numPr>
          <w:ilvl w:val="0"/>
          <w:numId w:val="4"/>
        </w:numPr>
        <w:spacing w:after="240" w:line="240" w:lineRule="auto"/>
        <w:ind w:left="-360"/>
        <w:jc w:val="both"/>
        <w:rPr>
          <w:rFonts w:cstheme="minorHAnsi"/>
        </w:rPr>
      </w:pPr>
      <w:r w:rsidRPr="009C17BC">
        <w:rPr>
          <w:rFonts w:cstheme="minorHAnsi"/>
        </w:rPr>
        <w:t>a „</w:t>
      </w:r>
      <w:r w:rsidRPr="009C17BC">
        <w:rPr>
          <w:rFonts w:cstheme="minorHAnsi"/>
          <w:b/>
        </w:rPr>
        <w:t>személyzet</w:t>
      </w:r>
      <w:r w:rsidRPr="009C17BC">
        <w:rPr>
          <w:rFonts w:cstheme="minorHAnsi"/>
        </w:rPr>
        <w:t>” jelentése: a Banknál dolgozó összes munkavállaló, valamint a Bank irányítási és felügyeleti jogkörrel rendelkező vezető testületeinek összes tagja</w:t>
      </w:r>
    </w:p>
    <w:p w14:paraId="749A3D7F" w14:textId="3228403A" w:rsidR="00B51692" w:rsidRPr="009C17BC" w:rsidRDefault="00B51692" w:rsidP="003336E1">
      <w:pPr>
        <w:pStyle w:val="Cmsor3"/>
        <w:numPr>
          <w:ilvl w:val="1"/>
          <w:numId w:val="48"/>
        </w:numPr>
        <w:jc w:val="both"/>
        <w:rPr>
          <w:rFonts w:asciiTheme="minorHAnsi" w:hAnsiTheme="minorHAnsi" w:cstheme="minorHAnsi"/>
          <w:b/>
          <w:bCs/>
          <w:sz w:val="22"/>
          <w:szCs w:val="22"/>
        </w:rPr>
      </w:pPr>
      <w:bookmarkStart w:id="73" w:name="_Toc147237472"/>
      <w:bookmarkStart w:id="74" w:name="_Toc475391656"/>
      <w:bookmarkStart w:id="75" w:name="_Toc475462536"/>
      <w:bookmarkStart w:id="76" w:name="_Toc477517485"/>
      <w:bookmarkStart w:id="77" w:name="_Toc477519455"/>
      <w:bookmarkStart w:id="78" w:name="_Toc478429052"/>
      <w:bookmarkStart w:id="79" w:name="_Toc478429316"/>
      <w:bookmarkStart w:id="80" w:name="_Toc507768731"/>
      <w:bookmarkStart w:id="81" w:name="_Toc513708849"/>
      <w:bookmarkStart w:id="82" w:name="_Toc35924109"/>
      <w:bookmarkStart w:id="83" w:name="_Toc35924571"/>
      <w:bookmarkStart w:id="84" w:name="_Toc36462809"/>
      <w:bookmarkStart w:id="85" w:name="_Toc97908836"/>
      <w:bookmarkStart w:id="86" w:name="_Toc100827405"/>
      <w:r w:rsidRPr="009C17BC">
        <w:rPr>
          <w:rFonts w:asciiTheme="minorHAnsi" w:hAnsiTheme="minorHAnsi" w:cstheme="minorHAnsi"/>
          <w:b/>
          <w:bCs/>
          <w:color w:val="1F4E79" w:themeColor="accent1" w:themeShade="80"/>
          <w:sz w:val="22"/>
          <w:szCs w:val="22"/>
        </w:rPr>
        <w:t>Szabályzat részletezése</w:t>
      </w:r>
      <w:bookmarkEnd w:id="73"/>
    </w:p>
    <w:p w14:paraId="7CE043BC" w14:textId="77777777" w:rsidR="00C30708" w:rsidRPr="009C17BC" w:rsidRDefault="00C30708" w:rsidP="003336E1">
      <w:pPr>
        <w:pStyle w:val="Listaszerbekezds"/>
        <w:ind w:left="1800"/>
        <w:jc w:val="both"/>
        <w:rPr>
          <w:rFonts w:cstheme="minorHAnsi"/>
        </w:rPr>
      </w:pPr>
    </w:p>
    <w:p w14:paraId="4ACE0DE4" w14:textId="1AD94483" w:rsidR="00AA27CC" w:rsidRPr="009C17BC" w:rsidRDefault="00AA27CC" w:rsidP="003336E1">
      <w:pPr>
        <w:pStyle w:val="Listaszerbekezds"/>
        <w:numPr>
          <w:ilvl w:val="2"/>
          <w:numId w:val="48"/>
        </w:numPr>
        <w:jc w:val="both"/>
        <w:outlineLvl w:val="0"/>
        <w:rPr>
          <w:rFonts w:cstheme="minorHAnsi"/>
          <w:b/>
        </w:rPr>
      </w:pPr>
      <w:bookmarkStart w:id="87" w:name="_Toc147237473"/>
      <w:bookmarkEnd w:id="74"/>
      <w:bookmarkEnd w:id="75"/>
      <w:bookmarkEnd w:id="76"/>
      <w:bookmarkEnd w:id="77"/>
      <w:bookmarkEnd w:id="78"/>
      <w:bookmarkEnd w:id="79"/>
      <w:bookmarkEnd w:id="80"/>
      <w:bookmarkEnd w:id="81"/>
      <w:bookmarkEnd w:id="82"/>
      <w:bookmarkEnd w:id="83"/>
      <w:bookmarkEnd w:id="84"/>
      <w:bookmarkEnd w:id="85"/>
      <w:bookmarkEnd w:id="86"/>
      <w:r w:rsidRPr="009C17BC">
        <w:rPr>
          <w:rFonts w:cstheme="minorHAnsi"/>
          <w:b/>
        </w:rPr>
        <w:t>A javadalmazás típusai</w:t>
      </w:r>
      <w:bookmarkEnd w:id="87"/>
    </w:p>
    <w:p w14:paraId="5DF7BBA5" w14:textId="77777777" w:rsidR="00AA27CC" w:rsidRPr="009C17BC" w:rsidRDefault="00AA27CC" w:rsidP="003336E1">
      <w:pPr>
        <w:pStyle w:val="Listaszerbekezds"/>
        <w:jc w:val="both"/>
        <w:rPr>
          <w:rFonts w:cstheme="minorHAnsi"/>
          <w:b/>
        </w:rPr>
      </w:pPr>
    </w:p>
    <w:p w14:paraId="03E67E4A" w14:textId="77777777" w:rsidR="00AA27CC" w:rsidRPr="009C17BC" w:rsidRDefault="00AA27CC" w:rsidP="003336E1">
      <w:pPr>
        <w:pStyle w:val="Listaszerbekezds"/>
        <w:ind w:left="0"/>
        <w:jc w:val="both"/>
        <w:rPr>
          <w:rFonts w:cstheme="minorHAnsi"/>
        </w:rPr>
      </w:pPr>
      <w:r w:rsidRPr="009C17BC">
        <w:rPr>
          <w:rFonts w:cstheme="minorHAnsi"/>
        </w:rPr>
        <w:t>A Javadalmazási Politika hatálya alá tartozó személyi kör tekintetében a javadalmazás csak alapjavadalmazás vagy teljesítményjavadalmazás lehet, a javadalmazásnak nincs harmadik kategóriája, azáltal a Bank esetén a javadalmazás minden elemét alap- vagy teljesítményjavadalmazáshoz kell besorolni.</w:t>
      </w:r>
    </w:p>
    <w:p w14:paraId="3C878C17" w14:textId="77777777" w:rsidR="00AA27CC" w:rsidRPr="009C17BC" w:rsidRDefault="00AA27CC" w:rsidP="003336E1">
      <w:pPr>
        <w:jc w:val="both"/>
        <w:rPr>
          <w:rFonts w:cstheme="minorHAnsi"/>
          <w:bCs/>
        </w:rPr>
      </w:pPr>
      <w:r w:rsidRPr="009C17BC">
        <w:rPr>
          <w:rFonts w:cstheme="minorHAnsi"/>
          <w:bCs/>
        </w:rPr>
        <w:t>A munkavégzéstől független javadalmazási elemeket a Duna Takarék Bank Zrt. Humánerőforrás gazdálkodásra vonatkozó szabályzata tartalmazza.</w:t>
      </w:r>
    </w:p>
    <w:p w14:paraId="37161277" w14:textId="76EBA996" w:rsidR="00AA27CC" w:rsidRPr="009C17BC" w:rsidRDefault="00AA27CC" w:rsidP="003336E1">
      <w:pPr>
        <w:pStyle w:val="Listaszerbekezds"/>
        <w:ind w:left="0"/>
        <w:jc w:val="both"/>
        <w:rPr>
          <w:rFonts w:cstheme="minorHAnsi"/>
          <w:b/>
        </w:rPr>
      </w:pPr>
      <w:r w:rsidRPr="009C17BC">
        <w:rPr>
          <w:rFonts w:cstheme="minorHAnsi"/>
          <w:b/>
        </w:rPr>
        <w:t>Alapjavadalmazási formái</w:t>
      </w:r>
    </w:p>
    <w:p w14:paraId="64CF3D57" w14:textId="77777777" w:rsidR="00AA27CC" w:rsidRPr="009C17BC" w:rsidRDefault="00AA27CC" w:rsidP="003336E1">
      <w:pPr>
        <w:pStyle w:val="Listaszerbekezds"/>
        <w:ind w:left="0"/>
        <w:jc w:val="both"/>
        <w:rPr>
          <w:rFonts w:cstheme="minorHAnsi"/>
          <w:b/>
        </w:rPr>
      </w:pPr>
    </w:p>
    <w:p w14:paraId="7D7111D6" w14:textId="77777777" w:rsidR="00AA27CC" w:rsidRPr="009C17BC" w:rsidRDefault="00AA27CC" w:rsidP="003336E1">
      <w:pPr>
        <w:pStyle w:val="Listaszerbekezds"/>
        <w:spacing w:after="0"/>
        <w:ind w:left="0"/>
        <w:jc w:val="both"/>
        <w:rPr>
          <w:rFonts w:cstheme="minorHAnsi"/>
          <w:b/>
        </w:rPr>
      </w:pPr>
      <w:r w:rsidRPr="009C17BC">
        <w:rPr>
          <w:rFonts w:cstheme="minorHAnsi"/>
        </w:rPr>
        <w:t>A javadalmazás alapjavadalomnak minősül, ha</w:t>
      </w:r>
    </w:p>
    <w:p w14:paraId="75C639C6" w14:textId="77777777" w:rsidR="00AA27CC" w:rsidRPr="009C17BC" w:rsidRDefault="00AA27CC" w:rsidP="003336E1">
      <w:pPr>
        <w:pStyle w:val="Listaszerbekezds"/>
        <w:numPr>
          <w:ilvl w:val="0"/>
          <w:numId w:val="9"/>
        </w:numPr>
        <w:spacing w:line="240" w:lineRule="auto"/>
        <w:jc w:val="both"/>
        <w:rPr>
          <w:rFonts w:cstheme="minorHAnsi"/>
        </w:rPr>
      </w:pPr>
      <w:r w:rsidRPr="009C17BC">
        <w:rPr>
          <w:rFonts w:cstheme="minorHAnsi"/>
        </w:rPr>
        <w:t xml:space="preserve">előre meghatározott kritériumokon alapulnak; </w:t>
      </w:r>
    </w:p>
    <w:p w14:paraId="50A344A9" w14:textId="77777777" w:rsidR="00AA27CC" w:rsidRPr="009C17BC" w:rsidRDefault="00AA27CC" w:rsidP="003336E1">
      <w:pPr>
        <w:pStyle w:val="Listaszerbekezds"/>
        <w:numPr>
          <w:ilvl w:val="0"/>
          <w:numId w:val="9"/>
        </w:numPr>
        <w:spacing w:line="240" w:lineRule="auto"/>
        <w:jc w:val="both"/>
        <w:rPr>
          <w:rFonts w:cstheme="minorHAnsi"/>
        </w:rPr>
      </w:pPr>
      <w:r w:rsidRPr="009C17BC">
        <w:rPr>
          <w:rFonts w:cstheme="minorHAnsi"/>
        </w:rPr>
        <w:t xml:space="preserve">objektív módon tükrözik a szakmai tapasztalat szintjét, valamint a munkavállalók szolgálati idejét; </w:t>
      </w:r>
    </w:p>
    <w:p w14:paraId="228DD83F" w14:textId="77777777" w:rsidR="00AA27CC" w:rsidRPr="009C17BC" w:rsidRDefault="00AA27CC" w:rsidP="003336E1">
      <w:pPr>
        <w:pStyle w:val="Listaszerbekezds"/>
        <w:numPr>
          <w:ilvl w:val="0"/>
          <w:numId w:val="9"/>
        </w:numPr>
        <w:spacing w:line="240" w:lineRule="auto"/>
        <w:jc w:val="both"/>
        <w:rPr>
          <w:rFonts w:cstheme="minorHAnsi"/>
        </w:rPr>
      </w:pPr>
      <w:r w:rsidRPr="009C17BC">
        <w:rPr>
          <w:rFonts w:cstheme="minorHAnsi"/>
        </w:rPr>
        <w:lastRenderedPageBreak/>
        <w:t xml:space="preserve">átláthatók az egyes munkavállalók részére megállapított egyéni összegek vonatkozásában; </w:t>
      </w:r>
    </w:p>
    <w:p w14:paraId="36AD9BFD" w14:textId="77777777" w:rsidR="00AA27CC" w:rsidRPr="009C17BC" w:rsidRDefault="00AA27CC" w:rsidP="003336E1">
      <w:pPr>
        <w:pStyle w:val="Listaszerbekezds"/>
        <w:numPr>
          <w:ilvl w:val="0"/>
          <w:numId w:val="9"/>
        </w:numPr>
        <w:spacing w:line="240" w:lineRule="auto"/>
        <w:jc w:val="both"/>
        <w:rPr>
          <w:rFonts w:cstheme="minorHAnsi"/>
        </w:rPr>
      </w:pPr>
      <w:r w:rsidRPr="009C17BC">
        <w:rPr>
          <w:rFonts w:cstheme="minorHAnsi"/>
        </w:rPr>
        <w:t xml:space="preserve">állandóak, azaz fenntartják azokat a konkrét feladathoz és szervezeti felelősségi körökhöz rendelt időszak alatt; </w:t>
      </w:r>
    </w:p>
    <w:p w14:paraId="3D460E1B" w14:textId="77777777" w:rsidR="00AA27CC" w:rsidRPr="009C17BC" w:rsidRDefault="00AA27CC" w:rsidP="003336E1">
      <w:pPr>
        <w:pStyle w:val="Listaszerbekezds"/>
        <w:numPr>
          <w:ilvl w:val="0"/>
          <w:numId w:val="9"/>
        </w:numPr>
        <w:spacing w:line="240" w:lineRule="auto"/>
        <w:jc w:val="both"/>
        <w:rPr>
          <w:rFonts w:cstheme="minorHAnsi"/>
        </w:rPr>
      </w:pPr>
      <w:r w:rsidRPr="009C17BC">
        <w:rPr>
          <w:rFonts w:cstheme="minorHAnsi"/>
        </w:rPr>
        <w:t xml:space="preserve">nem visszavonhatók; az állandó összeget csak kollektív bértárgyaláson keresztül, vagy újratárgyalást követően módosítják a bérmegállapításra vonatkozó hazai kritériumokkal összhangban; </w:t>
      </w:r>
    </w:p>
    <w:p w14:paraId="4397E971" w14:textId="77777777" w:rsidR="00AA27CC" w:rsidRPr="009C17BC" w:rsidRDefault="00AA27CC" w:rsidP="003336E1">
      <w:pPr>
        <w:pStyle w:val="Listaszerbekezds"/>
        <w:numPr>
          <w:ilvl w:val="0"/>
          <w:numId w:val="9"/>
        </w:numPr>
        <w:spacing w:line="240" w:lineRule="auto"/>
        <w:jc w:val="both"/>
        <w:rPr>
          <w:rFonts w:cstheme="minorHAnsi"/>
        </w:rPr>
      </w:pPr>
      <w:r w:rsidRPr="009C17BC">
        <w:rPr>
          <w:rFonts w:cstheme="minorHAnsi"/>
        </w:rPr>
        <w:t xml:space="preserve">az intézmény által nem csökkenthetők, függeszthetők fel vagy szüntethetők meg; </w:t>
      </w:r>
    </w:p>
    <w:p w14:paraId="35E36067" w14:textId="77777777" w:rsidR="00AA27CC" w:rsidRPr="009C17BC" w:rsidRDefault="00AA27CC" w:rsidP="003336E1">
      <w:pPr>
        <w:pStyle w:val="Listaszerbekezds"/>
        <w:numPr>
          <w:ilvl w:val="0"/>
          <w:numId w:val="9"/>
        </w:numPr>
        <w:spacing w:line="240" w:lineRule="auto"/>
        <w:jc w:val="both"/>
        <w:rPr>
          <w:rFonts w:cstheme="minorHAnsi"/>
        </w:rPr>
      </w:pPr>
      <w:r w:rsidRPr="009C17BC">
        <w:rPr>
          <w:rFonts w:cstheme="minorHAnsi"/>
        </w:rPr>
        <w:t xml:space="preserve">nem ösztönzik a kockázatvállalást; valamint </w:t>
      </w:r>
    </w:p>
    <w:p w14:paraId="6EF62CC7" w14:textId="77777777" w:rsidR="00AA27CC" w:rsidRPr="009C17BC" w:rsidRDefault="00AA27CC" w:rsidP="003336E1">
      <w:pPr>
        <w:pStyle w:val="Listaszerbekezds"/>
        <w:numPr>
          <w:ilvl w:val="0"/>
          <w:numId w:val="9"/>
        </w:numPr>
        <w:spacing w:line="240" w:lineRule="auto"/>
        <w:jc w:val="both"/>
        <w:rPr>
          <w:rFonts w:cstheme="minorHAnsi"/>
        </w:rPr>
      </w:pPr>
      <w:r w:rsidRPr="009C17BC">
        <w:rPr>
          <w:rFonts w:cstheme="minorHAnsi"/>
        </w:rPr>
        <w:t xml:space="preserve">nem </w:t>
      </w:r>
      <w:proofErr w:type="spellStart"/>
      <w:r w:rsidRPr="009C17BC">
        <w:rPr>
          <w:rFonts w:cstheme="minorHAnsi"/>
        </w:rPr>
        <w:t>függnek</w:t>
      </w:r>
      <w:proofErr w:type="spellEnd"/>
      <w:r w:rsidRPr="009C17BC">
        <w:rPr>
          <w:rFonts w:cstheme="minorHAnsi"/>
        </w:rPr>
        <w:t xml:space="preserve"> a teljesítménytől.</w:t>
      </w:r>
    </w:p>
    <w:p w14:paraId="7520B491" w14:textId="77777777" w:rsidR="00AA27CC" w:rsidRPr="009C17BC" w:rsidRDefault="00AA27CC" w:rsidP="003336E1">
      <w:pPr>
        <w:pStyle w:val="Listaszerbekezds"/>
        <w:spacing w:line="240" w:lineRule="auto"/>
        <w:ind w:left="1695"/>
        <w:jc w:val="both"/>
        <w:rPr>
          <w:rFonts w:cstheme="minorHAnsi"/>
        </w:rPr>
      </w:pPr>
    </w:p>
    <w:p w14:paraId="02BC1CA2" w14:textId="77777777" w:rsidR="00AA27CC" w:rsidRPr="009C17BC" w:rsidRDefault="00AA27CC" w:rsidP="003336E1">
      <w:pPr>
        <w:spacing w:line="240" w:lineRule="auto"/>
        <w:jc w:val="both"/>
        <w:rPr>
          <w:rFonts w:cstheme="minorHAnsi"/>
        </w:rPr>
      </w:pPr>
      <w:r w:rsidRPr="009C17BC">
        <w:rPr>
          <w:rFonts w:cstheme="minorHAnsi"/>
        </w:rPr>
        <w:t xml:space="preserve">A Bank azon javadalmazási elemeket tekinti alapjavadalmazásnak, amelyek a Javadalmazási politika részét képezik és egyben megfelelnek a fenti kritériumoknak vagy olyan kifizetések, melyeket jogszabály tesz kötelezővé. </w:t>
      </w:r>
    </w:p>
    <w:p w14:paraId="05A3335E" w14:textId="77777777" w:rsidR="00AA27CC" w:rsidRPr="009C17BC" w:rsidRDefault="00AA27CC" w:rsidP="003336E1">
      <w:pPr>
        <w:pStyle w:val="Cmsor3"/>
        <w:jc w:val="both"/>
        <w:rPr>
          <w:rFonts w:asciiTheme="minorHAnsi" w:eastAsiaTheme="minorEastAsia" w:hAnsiTheme="minorHAnsi" w:cstheme="minorHAnsi"/>
          <w:color w:val="auto"/>
          <w:sz w:val="22"/>
          <w:szCs w:val="22"/>
        </w:rPr>
      </w:pPr>
    </w:p>
    <w:p w14:paraId="76E5D701" w14:textId="77777777" w:rsidR="00AA27CC" w:rsidRPr="009C17BC" w:rsidRDefault="00AA27CC" w:rsidP="003336E1">
      <w:pPr>
        <w:pStyle w:val="Cmsor3"/>
        <w:jc w:val="both"/>
        <w:rPr>
          <w:rFonts w:asciiTheme="minorHAnsi" w:eastAsiaTheme="minorEastAsia" w:hAnsiTheme="minorHAnsi" w:cstheme="minorHAnsi"/>
          <w:color w:val="auto"/>
          <w:sz w:val="22"/>
          <w:szCs w:val="22"/>
          <w:u w:val="single"/>
        </w:rPr>
      </w:pPr>
      <w:bookmarkStart w:id="88" w:name="_Toc144110643"/>
      <w:bookmarkStart w:id="89" w:name="_Toc147237474"/>
      <w:r w:rsidRPr="009C17BC">
        <w:rPr>
          <w:rFonts w:asciiTheme="minorHAnsi" w:eastAsiaTheme="minorEastAsia" w:hAnsiTheme="minorHAnsi" w:cstheme="minorHAnsi"/>
          <w:color w:val="auto"/>
          <w:sz w:val="22"/>
          <w:szCs w:val="22"/>
          <w:u w:val="single"/>
        </w:rPr>
        <w:t>Alapbér</w:t>
      </w:r>
      <w:bookmarkEnd w:id="88"/>
      <w:bookmarkEnd w:id="89"/>
    </w:p>
    <w:p w14:paraId="6A762E9B" w14:textId="77777777" w:rsidR="00AA27CC" w:rsidRPr="009C17BC" w:rsidRDefault="00AA27CC" w:rsidP="003336E1">
      <w:pPr>
        <w:pStyle w:val="Default"/>
        <w:jc w:val="both"/>
        <w:rPr>
          <w:rFonts w:asciiTheme="minorHAnsi" w:eastAsiaTheme="minorEastAsia" w:hAnsiTheme="minorHAnsi" w:cstheme="minorHAnsi"/>
          <w:color w:val="auto"/>
          <w:sz w:val="22"/>
          <w:szCs w:val="22"/>
          <w:lang w:eastAsia="en-US"/>
        </w:rPr>
      </w:pPr>
    </w:p>
    <w:p w14:paraId="52E6EA37" w14:textId="77777777" w:rsidR="00AA27CC" w:rsidRPr="009C17BC" w:rsidRDefault="00AA27CC" w:rsidP="003336E1">
      <w:pPr>
        <w:spacing w:line="240" w:lineRule="auto"/>
        <w:jc w:val="both"/>
        <w:rPr>
          <w:rFonts w:cstheme="minorHAnsi"/>
        </w:rPr>
      </w:pPr>
      <w:r w:rsidRPr="009C17BC">
        <w:rPr>
          <w:rFonts w:cstheme="minorHAnsi"/>
        </w:rPr>
        <w:t>A Bank munkavállalói alapbérre jogosultak, amelyet a számlájukra történő átutalással kapnak meg.</w:t>
      </w:r>
    </w:p>
    <w:p w14:paraId="7FB42E1F" w14:textId="77777777" w:rsidR="00AA27CC" w:rsidRPr="009C17BC" w:rsidRDefault="00AA27CC" w:rsidP="003336E1">
      <w:pPr>
        <w:spacing w:line="240" w:lineRule="auto"/>
        <w:jc w:val="both"/>
        <w:rPr>
          <w:rFonts w:cstheme="minorHAnsi"/>
        </w:rPr>
      </w:pPr>
      <w:r w:rsidRPr="009C17BC">
        <w:rPr>
          <w:rFonts w:cstheme="minorHAnsi"/>
        </w:rPr>
        <w:t>Alapjavadalomnak minősül továbbá az Mt. szabályai alapján fizetett díj és pótlék (pl.: rendkívüli munkavégzés esetén fizetett bérpótlék, munkaviszony megszűnéshez, megszüntetéshez kapcsolódó felmondási idő és szabadság megváltás, továbbá a betegszabadság és a táppénz.)</w:t>
      </w:r>
    </w:p>
    <w:p w14:paraId="3E5A5BEA" w14:textId="77777777" w:rsidR="00AA27CC" w:rsidRPr="009C17BC" w:rsidRDefault="00AA27CC" w:rsidP="003336E1">
      <w:pPr>
        <w:pStyle w:val="Cmsor3"/>
        <w:jc w:val="both"/>
        <w:rPr>
          <w:rFonts w:asciiTheme="minorHAnsi" w:eastAsiaTheme="minorEastAsia" w:hAnsiTheme="minorHAnsi" w:cstheme="minorHAnsi"/>
          <w:color w:val="auto"/>
          <w:sz w:val="22"/>
          <w:szCs w:val="22"/>
          <w:u w:val="single"/>
        </w:rPr>
      </w:pPr>
      <w:bookmarkStart w:id="90" w:name="_Toc144110644"/>
      <w:bookmarkStart w:id="91" w:name="_Toc147237475"/>
      <w:r w:rsidRPr="009C17BC">
        <w:rPr>
          <w:rFonts w:asciiTheme="minorHAnsi" w:eastAsiaTheme="minorEastAsia" w:hAnsiTheme="minorHAnsi" w:cstheme="minorHAnsi"/>
          <w:color w:val="auto"/>
          <w:sz w:val="22"/>
          <w:szCs w:val="22"/>
          <w:u w:val="single"/>
        </w:rPr>
        <w:t>Béren kívüli juttatások</w:t>
      </w:r>
      <w:bookmarkEnd w:id="90"/>
      <w:bookmarkEnd w:id="91"/>
    </w:p>
    <w:p w14:paraId="2B84F534" w14:textId="77777777" w:rsidR="00AA27CC" w:rsidRPr="009C17BC" w:rsidRDefault="00AA27CC" w:rsidP="003336E1">
      <w:pPr>
        <w:spacing w:after="0" w:line="240" w:lineRule="auto"/>
        <w:jc w:val="both"/>
        <w:rPr>
          <w:rFonts w:cstheme="minorHAnsi"/>
        </w:rPr>
      </w:pPr>
      <w:r w:rsidRPr="009C17BC">
        <w:rPr>
          <w:rFonts w:cstheme="minorHAnsi"/>
        </w:rPr>
        <w:t xml:space="preserve">A Bank dolgozói belső szabályzatban, utasításban meghatározottak alapján béren kívüli juttatásokra lehetnek jogosultak. Ezen juttatásokról a Bank Humánerőforrás gazdálkodásra vonatkozó szabályzata rendelkezik. </w:t>
      </w:r>
    </w:p>
    <w:p w14:paraId="26BF9386" w14:textId="77777777" w:rsidR="00AA27CC" w:rsidRPr="009C17BC" w:rsidRDefault="00AA27CC" w:rsidP="003336E1">
      <w:pPr>
        <w:spacing w:after="0" w:line="240" w:lineRule="auto"/>
        <w:jc w:val="both"/>
        <w:rPr>
          <w:rFonts w:cstheme="minorHAnsi"/>
        </w:rPr>
      </w:pPr>
    </w:p>
    <w:p w14:paraId="1E8B4809" w14:textId="77777777" w:rsidR="00AA27CC" w:rsidRPr="009C17BC" w:rsidRDefault="00AA27CC" w:rsidP="003336E1">
      <w:pPr>
        <w:tabs>
          <w:tab w:val="left" w:pos="786"/>
          <w:tab w:val="left" w:pos="851"/>
        </w:tabs>
        <w:spacing w:after="120"/>
        <w:jc w:val="both"/>
        <w:rPr>
          <w:rFonts w:cstheme="minorHAnsi"/>
        </w:rPr>
      </w:pPr>
      <w:r w:rsidRPr="009C17BC">
        <w:rPr>
          <w:rFonts w:cstheme="minorHAnsi"/>
        </w:rPr>
        <w:t>A Bank béren kívüli juttatásként</w:t>
      </w:r>
    </w:p>
    <w:p w14:paraId="60573844" w14:textId="77777777" w:rsidR="00AA27CC" w:rsidRPr="009C17BC" w:rsidRDefault="00AA27CC" w:rsidP="003336E1">
      <w:pPr>
        <w:pStyle w:val="Listaszerbekezds"/>
        <w:numPr>
          <w:ilvl w:val="0"/>
          <w:numId w:val="30"/>
        </w:numPr>
        <w:tabs>
          <w:tab w:val="left" w:pos="786"/>
          <w:tab w:val="left" w:pos="851"/>
        </w:tabs>
        <w:spacing w:after="200" w:line="276" w:lineRule="auto"/>
        <w:jc w:val="both"/>
        <w:rPr>
          <w:rFonts w:cstheme="minorHAnsi"/>
        </w:rPr>
      </w:pPr>
      <w:r w:rsidRPr="009C17BC">
        <w:rPr>
          <w:rFonts w:cstheme="minorHAnsi"/>
        </w:rPr>
        <w:t>a választható béren kívüli juttatásokat nyújt (</w:t>
      </w:r>
      <w:proofErr w:type="spellStart"/>
      <w:r w:rsidRPr="009C17BC">
        <w:rPr>
          <w:rFonts w:cstheme="minorHAnsi"/>
        </w:rPr>
        <w:t>Cafeteria</w:t>
      </w:r>
      <w:proofErr w:type="spellEnd"/>
      <w:r w:rsidRPr="009C17BC">
        <w:rPr>
          <w:rFonts w:cstheme="minorHAnsi"/>
        </w:rPr>
        <w:t>),</w:t>
      </w:r>
    </w:p>
    <w:p w14:paraId="0D166EFC" w14:textId="77777777" w:rsidR="00AA27CC" w:rsidRPr="009C17BC" w:rsidRDefault="00AA27CC" w:rsidP="003336E1">
      <w:pPr>
        <w:pStyle w:val="Listaszerbekezds"/>
        <w:numPr>
          <w:ilvl w:val="0"/>
          <w:numId w:val="30"/>
        </w:numPr>
        <w:tabs>
          <w:tab w:val="left" w:pos="786"/>
          <w:tab w:val="left" w:pos="851"/>
        </w:tabs>
        <w:spacing w:after="0" w:line="240" w:lineRule="auto"/>
        <w:jc w:val="both"/>
        <w:rPr>
          <w:rFonts w:cstheme="minorHAnsi"/>
        </w:rPr>
      </w:pPr>
      <w:r w:rsidRPr="009C17BC">
        <w:rPr>
          <w:rFonts w:cstheme="minorHAnsi"/>
        </w:rPr>
        <w:t xml:space="preserve">a munkába járáshoz közlekedési hozzájárulást nyújt, </w:t>
      </w:r>
    </w:p>
    <w:p w14:paraId="30AC6AB3" w14:textId="77777777" w:rsidR="00AA27CC" w:rsidRPr="009C17BC" w:rsidRDefault="00AA27CC" w:rsidP="003336E1">
      <w:pPr>
        <w:pStyle w:val="Listaszerbekezds"/>
        <w:numPr>
          <w:ilvl w:val="0"/>
          <w:numId w:val="30"/>
        </w:numPr>
        <w:tabs>
          <w:tab w:val="left" w:pos="786"/>
          <w:tab w:val="left" w:pos="851"/>
        </w:tabs>
        <w:spacing w:after="0" w:line="240" w:lineRule="auto"/>
        <w:jc w:val="both"/>
        <w:rPr>
          <w:rFonts w:cstheme="minorHAnsi"/>
        </w:rPr>
      </w:pPr>
      <w:r w:rsidRPr="009C17BC">
        <w:rPr>
          <w:rFonts w:cstheme="minorHAnsi"/>
        </w:rPr>
        <w:t xml:space="preserve">egyes munkavállalói számára személyes és/vagy hivatali célú, banki tulajdonú </w:t>
      </w:r>
      <w:proofErr w:type="spellStart"/>
      <w:r w:rsidRPr="009C17BC">
        <w:rPr>
          <w:rFonts w:cstheme="minorHAnsi"/>
        </w:rPr>
        <w:t>gépjárműt</w:t>
      </w:r>
      <w:proofErr w:type="spellEnd"/>
      <w:r w:rsidRPr="009C17BC">
        <w:rPr>
          <w:rFonts w:cstheme="minorHAnsi"/>
        </w:rPr>
        <w:t xml:space="preserve"> ad, illetve</w:t>
      </w:r>
    </w:p>
    <w:p w14:paraId="618634DC" w14:textId="77777777" w:rsidR="00AA27CC" w:rsidRPr="009C17BC" w:rsidRDefault="00AA27CC" w:rsidP="003336E1">
      <w:pPr>
        <w:pStyle w:val="Listaszerbekezds"/>
        <w:numPr>
          <w:ilvl w:val="0"/>
          <w:numId w:val="30"/>
        </w:numPr>
        <w:tabs>
          <w:tab w:val="left" w:pos="786"/>
          <w:tab w:val="left" w:pos="851"/>
        </w:tabs>
        <w:spacing w:after="0" w:line="240" w:lineRule="auto"/>
        <w:jc w:val="both"/>
        <w:rPr>
          <w:rFonts w:cstheme="minorHAnsi"/>
        </w:rPr>
      </w:pPr>
      <w:r w:rsidRPr="009C17BC">
        <w:rPr>
          <w:rFonts w:cstheme="minorHAnsi"/>
        </w:rPr>
        <w:t>mobiltelefon és mobilinternet használatot biztosít</w:t>
      </w:r>
    </w:p>
    <w:p w14:paraId="74A6C1F9" w14:textId="77777777" w:rsidR="00AA27CC" w:rsidRPr="009C17BC" w:rsidRDefault="00AA27CC" w:rsidP="003336E1">
      <w:pPr>
        <w:pStyle w:val="Listaszerbekezds"/>
        <w:numPr>
          <w:ilvl w:val="0"/>
          <w:numId w:val="30"/>
        </w:numPr>
        <w:tabs>
          <w:tab w:val="left" w:pos="786"/>
          <w:tab w:val="left" w:pos="851"/>
        </w:tabs>
        <w:spacing w:after="0" w:line="240" w:lineRule="auto"/>
        <w:jc w:val="both"/>
        <w:rPr>
          <w:rFonts w:cstheme="minorHAnsi"/>
        </w:rPr>
      </w:pPr>
      <w:r w:rsidRPr="009C17BC">
        <w:rPr>
          <w:rFonts w:cstheme="minorHAnsi"/>
        </w:rPr>
        <w:t>kedvezményes dolgozói hitelt, betételhelyezési lehetőséget valamint munkabér előleget nyújt</w:t>
      </w:r>
    </w:p>
    <w:p w14:paraId="3C6C566F" w14:textId="77777777" w:rsidR="00AA27CC" w:rsidRPr="009C17BC" w:rsidRDefault="00AA27CC" w:rsidP="003336E1">
      <w:pPr>
        <w:pStyle w:val="Listaszerbekezds"/>
        <w:numPr>
          <w:ilvl w:val="0"/>
          <w:numId w:val="30"/>
        </w:numPr>
        <w:tabs>
          <w:tab w:val="left" w:pos="786"/>
          <w:tab w:val="left" w:pos="851"/>
        </w:tabs>
        <w:spacing w:after="0" w:line="240" w:lineRule="auto"/>
        <w:jc w:val="both"/>
        <w:rPr>
          <w:rFonts w:cstheme="minorHAnsi"/>
        </w:rPr>
      </w:pPr>
      <w:r w:rsidRPr="009C17BC">
        <w:rPr>
          <w:rFonts w:cstheme="minorHAnsi"/>
        </w:rPr>
        <w:t>a Bank hosszú távú üzleti érdekeinek megfelelő oktatás finanszírozását vállalja</w:t>
      </w:r>
    </w:p>
    <w:p w14:paraId="233CA63C" w14:textId="77777777" w:rsidR="00AA27CC" w:rsidRPr="009C17BC" w:rsidRDefault="00AA27CC" w:rsidP="003336E1">
      <w:pPr>
        <w:pStyle w:val="Listaszerbekezds"/>
        <w:numPr>
          <w:ilvl w:val="0"/>
          <w:numId w:val="30"/>
        </w:numPr>
        <w:tabs>
          <w:tab w:val="left" w:pos="786"/>
          <w:tab w:val="left" w:pos="851"/>
        </w:tabs>
        <w:spacing w:after="0" w:line="240" w:lineRule="auto"/>
        <w:jc w:val="both"/>
        <w:rPr>
          <w:rFonts w:cstheme="minorHAnsi"/>
        </w:rPr>
      </w:pPr>
      <w:r w:rsidRPr="009C17BC">
        <w:rPr>
          <w:rFonts w:cstheme="minorHAnsi"/>
        </w:rPr>
        <w:t>kitüntetési rendszert alkalmaz (törzsgárda/lojalitási rendszer)</w:t>
      </w:r>
    </w:p>
    <w:p w14:paraId="68C21154" w14:textId="77777777" w:rsidR="00AA27CC" w:rsidRPr="009C17BC" w:rsidRDefault="00AA27CC" w:rsidP="003336E1">
      <w:pPr>
        <w:pStyle w:val="Listaszerbekezds"/>
        <w:numPr>
          <w:ilvl w:val="0"/>
          <w:numId w:val="30"/>
        </w:numPr>
        <w:tabs>
          <w:tab w:val="left" w:pos="786"/>
          <w:tab w:val="left" w:pos="851"/>
        </w:tabs>
        <w:spacing w:after="0" w:line="240" w:lineRule="auto"/>
        <w:jc w:val="both"/>
        <w:rPr>
          <w:rFonts w:cstheme="minorHAnsi"/>
        </w:rPr>
      </w:pPr>
      <w:r w:rsidRPr="009C17BC">
        <w:rPr>
          <w:rFonts w:cstheme="minorHAnsi"/>
        </w:rPr>
        <w:t>karácsonyi „pulykapénz” juttatást alkalmaz tárgyévi lojalitásként</w:t>
      </w:r>
    </w:p>
    <w:p w14:paraId="781FB2EE" w14:textId="77777777" w:rsidR="00AA27CC" w:rsidRPr="009C17BC" w:rsidRDefault="00AA27CC" w:rsidP="003336E1">
      <w:pPr>
        <w:pStyle w:val="Listaszerbekezds"/>
        <w:numPr>
          <w:ilvl w:val="0"/>
          <w:numId w:val="30"/>
        </w:numPr>
        <w:tabs>
          <w:tab w:val="left" w:pos="786"/>
          <w:tab w:val="left" w:pos="851"/>
        </w:tabs>
        <w:spacing w:after="0" w:line="240" w:lineRule="auto"/>
        <w:jc w:val="both"/>
        <w:rPr>
          <w:rFonts w:cstheme="minorHAnsi"/>
        </w:rPr>
      </w:pPr>
      <w:r w:rsidRPr="009C17BC">
        <w:rPr>
          <w:rFonts w:cstheme="minorHAnsi"/>
        </w:rPr>
        <w:t>egyéb eseti támogatásokat nyújthat (temetési segély, ruházati hozzájárulás, védőszemüveg, iskolakezdési támogatás, dolgozók részére kötött biztosítás, saját tulajdonba vásárolt mobiltelefon támogatás, rekreációs utazási támogatás)</w:t>
      </w:r>
    </w:p>
    <w:p w14:paraId="3AEF68FC" w14:textId="77777777" w:rsidR="00AA27CC" w:rsidRDefault="00AA27CC" w:rsidP="003336E1">
      <w:pPr>
        <w:pStyle w:val="Listaszerbekezds"/>
        <w:tabs>
          <w:tab w:val="left" w:pos="786"/>
          <w:tab w:val="left" w:pos="851"/>
        </w:tabs>
        <w:spacing w:after="0" w:line="240" w:lineRule="auto"/>
        <w:jc w:val="both"/>
        <w:rPr>
          <w:rFonts w:cstheme="minorHAnsi"/>
        </w:rPr>
      </w:pPr>
    </w:p>
    <w:p w14:paraId="2FBBBED9" w14:textId="77777777" w:rsidR="00190D66" w:rsidRPr="009C17BC" w:rsidRDefault="00190D66" w:rsidP="003336E1">
      <w:pPr>
        <w:pStyle w:val="Listaszerbekezds"/>
        <w:tabs>
          <w:tab w:val="left" w:pos="786"/>
          <w:tab w:val="left" w:pos="851"/>
        </w:tabs>
        <w:spacing w:after="0" w:line="240" w:lineRule="auto"/>
        <w:jc w:val="both"/>
        <w:rPr>
          <w:rFonts w:cstheme="minorHAnsi"/>
        </w:rPr>
      </w:pPr>
    </w:p>
    <w:p w14:paraId="0D9B6098" w14:textId="77777777" w:rsidR="00AA27CC" w:rsidRPr="009C17BC" w:rsidRDefault="00AA27CC" w:rsidP="003336E1">
      <w:pPr>
        <w:spacing w:line="240" w:lineRule="auto"/>
        <w:jc w:val="both"/>
        <w:rPr>
          <w:rFonts w:cstheme="minorHAnsi"/>
          <w:u w:val="single"/>
        </w:rPr>
      </w:pPr>
      <w:r w:rsidRPr="009C17BC">
        <w:rPr>
          <w:rFonts w:cstheme="minorHAnsi"/>
          <w:u w:val="single"/>
        </w:rPr>
        <w:t>Tiszteletdíj</w:t>
      </w:r>
    </w:p>
    <w:p w14:paraId="1CD560EA" w14:textId="77777777" w:rsidR="00AA27CC" w:rsidRPr="009C17BC" w:rsidRDefault="00AA27CC" w:rsidP="003336E1">
      <w:pPr>
        <w:pStyle w:val="Listaszerbekezds"/>
        <w:ind w:left="0"/>
        <w:jc w:val="both"/>
        <w:rPr>
          <w:rFonts w:cstheme="minorHAnsi"/>
        </w:rPr>
      </w:pPr>
      <w:r w:rsidRPr="009C17BC">
        <w:rPr>
          <w:rFonts w:cstheme="minorHAnsi"/>
        </w:rPr>
        <w:t>A Bank Igazgatóságának és Felügyelőbizottságának elnöke és tagjai a Közgyűlés által meghatározott összegben és rendszerességgel tiszteletdíjban részesülhetnek. A külső IG/FB tagok teljesítményjavadalmazásban nem részesülnek.</w:t>
      </w:r>
    </w:p>
    <w:p w14:paraId="40F3C59A" w14:textId="77777777" w:rsidR="00AA27CC" w:rsidRPr="009C17BC" w:rsidRDefault="00AA27CC" w:rsidP="003336E1">
      <w:pPr>
        <w:pStyle w:val="Listaszerbekezds"/>
        <w:ind w:left="0"/>
        <w:jc w:val="both"/>
        <w:rPr>
          <w:rFonts w:cstheme="minorHAnsi"/>
        </w:rPr>
      </w:pPr>
    </w:p>
    <w:p w14:paraId="5335467D" w14:textId="77777777" w:rsidR="00C30708" w:rsidRPr="009C17BC" w:rsidRDefault="00C30708" w:rsidP="003336E1">
      <w:pPr>
        <w:pStyle w:val="Listaszerbekezds"/>
        <w:ind w:left="0"/>
        <w:jc w:val="both"/>
        <w:rPr>
          <w:rFonts w:cstheme="minorHAnsi"/>
        </w:rPr>
      </w:pPr>
    </w:p>
    <w:p w14:paraId="62F0818E" w14:textId="04FFB604" w:rsidR="00AA27CC" w:rsidRPr="009C17BC" w:rsidRDefault="00AA27CC" w:rsidP="003336E1">
      <w:pPr>
        <w:pStyle w:val="Listaszerbekezds"/>
        <w:ind w:left="0"/>
        <w:jc w:val="both"/>
        <w:rPr>
          <w:rFonts w:cstheme="minorHAnsi"/>
          <w:b/>
        </w:rPr>
      </w:pPr>
      <w:r w:rsidRPr="009C17BC">
        <w:rPr>
          <w:rFonts w:cstheme="minorHAnsi"/>
          <w:b/>
        </w:rPr>
        <w:lastRenderedPageBreak/>
        <w:t>Teljesítményjavadalmazás formái</w:t>
      </w:r>
    </w:p>
    <w:p w14:paraId="3FA711E8" w14:textId="77777777" w:rsidR="00AA27CC" w:rsidRPr="009C17BC" w:rsidRDefault="00AA27CC" w:rsidP="003336E1">
      <w:pPr>
        <w:pStyle w:val="Listaszerbekezds"/>
        <w:ind w:left="0"/>
        <w:jc w:val="both"/>
        <w:rPr>
          <w:rFonts w:cstheme="minorHAnsi"/>
          <w:b/>
        </w:rPr>
      </w:pPr>
    </w:p>
    <w:p w14:paraId="0766CBA6" w14:textId="77777777" w:rsidR="00AA27CC" w:rsidRPr="009C17BC" w:rsidRDefault="00AA27CC" w:rsidP="003336E1">
      <w:pPr>
        <w:pStyle w:val="Listaszerbekezds"/>
        <w:ind w:left="0"/>
        <w:jc w:val="both"/>
        <w:rPr>
          <w:rFonts w:cstheme="minorHAnsi"/>
        </w:rPr>
      </w:pPr>
      <w:r w:rsidRPr="009C17BC">
        <w:rPr>
          <w:rFonts w:cstheme="minorHAnsi"/>
        </w:rPr>
        <w:t>Minden javadalomelem, amely nem felel meg az alapjavadalmazás címszó alatt felsorolt kritériumoknak, teljesítményjavadalomnak minősül, így különösen:</w:t>
      </w:r>
    </w:p>
    <w:p w14:paraId="0D9F5508" w14:textId="77777777" w:rsidR="00AA27CC" w:rsidRPr="009C17BC" w:rsidRDefault="00AA27CC" w:rsidP="003336E1">
      <w:pPr>
        <w:pStyle w:val="Listaszerbekezds"/>
        <w:numPr>
          <w:ilvl w:val="0"/>
          <w:numId w:val="17"/>
        </w:numPr>
        <w:jc w:val="both"/>
        <w:rPr>
          <w:rFonts w:cstheme="minorHAnsi"/>
        </w:rPr>
      </w:pPr>
      <w:r w:rsidRPr="009C17BC">
        <w:rPr>
          <w:rFonts w:cstheme="minorHAnsi"/>
        </w:rPr>
        <w:t>prémium, célprémium, jutalom, jutalék</w:t>
      </w:r>
    </w:p>
    <w:p w14:paraId="348DD073" w14:textId="77777777" w:rsidR="00AA27CC" w:rsidRPr="009C17BC" w:rsidRDefault="00AA27CC" w:rsidP="003336E1">
      <w:pPr>
        <w:pStyle w:val="Listaszerbekezds"/>
        <w:numPr>
          <w:ilvl w:val="0"/>
          <w:numId w:val="17"/>
        </w:numPr>
        <w:jc w:val="both"/>
        <w:rPr>
          <w:rFonts w:cstheme="minorHAnsi"/>
        </w:rPr>
      </w:pPr>
      <w:r w:rsidRPr="009C17BC">
        <w:rPr>
          <w:rFonts w:cstheme="minorHAnsi"/>
        </w:rPr>
        <w:t>megtartási bónusz</w:t>
      </w:r>
    </w:p>
    <w:p w14:paraId="3F829CA0" w14:textId="77777777" w:rsidR="00AA27CC" w:rsidRPr="009C17BC" w:rsidRDefault="00AA27CC" w:rsidP="003336E1">
      <w:pPr>
        <w:pStyle w:val="Listaszerbekezds"/>
        <w:numPr>
          <w:ilvl w:val="0"/>
          <w:numId w:val="17"/>
        </w:numPr>
        <w:jc w:val="both"/>
        <w:rPr>
          <w:rFonts w:cstheme="minorHAnsi"/>
          <w:b/>
        </w:rPr>
      </w:pPr>
      <w:r w:rsidRPr="009C17BC">
        <w:rPr>
          <w:rFonts w:cstheme="minorHAnsi"/>
        </w:rPr>
        <w:t>munkaviszony megszüntetés esetén közös megegyezéshez kapcsolódóan kifizetett összeg (a Munka Törvénykönyvében, vagy az egyéni munkaszerződésben foglalt összegen felüli rész)</w:t>
      </w:r>
    </w:p>
    <w:p w14:paraId="10BF7F98" w14:textId="77777777" w:rsidR="00AA27CC" w:rsidRPr="009C17BC" w:rsidRDefault="00AA27CC" w:rsidP="003336E1">
      <w:pPr>
        <w:pStyle w:val="Listaszerbekezds"/>
        <w:numPr>
          <w:ilvl w:val="0"/>
          <w:numId w:val="17"/>
        </w:numPr>
        <w:jc w:val="both"/>
        <w:rPr>
          <w:rFonts w:cstheme="minorHAnsi"/>
          <w:b/>
        </w:rPr>
      </w:pPr>
      <w:r w:rsidRPr="009C17BC">
        <w:rPr>
          <w:rFonts w:cstheme="minorHAnsi"/>
        </w:rPr>
        <w:t xml:space="preserve"> végkielégítés</w:t>
      </w:r>
    </w:p>
    <w:p w14:paraId="1D8E990D" w14:textId="77777777" w:rsidR="00AA27CC" w:rsidRPr="009C17BC" w:rsidRDefault="00AA27CC" w:rsidP="003336E1">
      <w:pPr>
        <w:pStyle w:val="Cmsor3"/>
        <w:jc w:val="both"/>
        <w:rPr>
          <w:rFonts w:asciiTheme="minorHAnsi" w:eastAsiaTheme="minorEastAsia" w:hAnsiTheme="minorHAnsi" w:cstheme="minorHAnsi"/>
          <w:color w:val="auto"/>
          <w:sz w:val="22"/>
          <w:szCs w:val="22"/>
          <w:u w:val="single"/>
        </w:rPr>
      </w:pPr>
      <w:bookmarkStart w:id="92" w:name="_Toc144110645"/>
      <w:bookmarkStart w:id="93" w:name="_Toc147237476"/>
      <w:r w:rsidRPr="009C17BC">
        <w:rPr>
          <w:rFonts w:asciiTheme="minorHAnsi" w:eastAsiaTheme="minorEastAsia" w:hAnsiTheme="minorHAnsi" w:cstheme="minorHAnsi"/>
          <w:color w:val="auto"/>
          <w:sz w:val="22"/>
          <w:szCs w:val="22"/>
          <w:u w:val="single"/>
        </w:rPr>
        <w:t>Prémium</w:t>
      </w:r>
      <w:bookmarkEnd w:id="92"/>
      <w:bookmarkEnd w:id="93"/>
    </w:p>
    <w:p w14:paraId="02924F5C" w14:textId="77777777" w:rsidR="00AA27CC" w:rsidRPr="009C17BC" w:rsidRDefault="00AA27CC" w:rsidP="003336E1">
      <w:pPr>
        <w:pStyle w:val="Cmsor3"/>
        <w:jc w:val="both"/>
        <w:rPr>
          <w:rFonts w:asciiTheme="minorHAnsi" w:eastAsiaTheme="minorEastAsia" w:hAnsiTheme="minorHAnsi" w:cstheme="minorHAnsi"/>
          <w:color w:val="auto"/>
          <w:sz w:val="22"/>
          <w:szCs w:val="22"/>
        </w:rPr>
      </w:pPr>
      <w:bookmarkStart w:id="94" w:name="_Toc144110646"/>
      <w:bookmarkStart w:id="95" w:name="_Toc147237477"/>
      <w:r w:rsidRPr="009C17BC">
        <w:rPr>
          <w:rFonts w:asciiTheme="minorHAnsi" w:eastAsiaTheme="minorEastAsia" w:hAnsiTheme="minorHAnsi" w:cstheme="minorHAnsi"/>
          <w:color w:val="auto"/>
          <w:sz w:val="22"/>
          <w:szCs w:val="22"/>
        </w:rPr>
        <w:t xml:space="preserve">A Bank belső szabályzatban rendelkezik - A </w:t>
      </w:r>
      <w:r w:rsidRPr="009C17BC">
        <w:rPr>
          <w:rFonts w:asciiTheme="minorHAnsi" w:eastAsiaTheme="minorEastAsia" w:hAnsiTheme="minorHAnsi" w:cstheme="minorHAnsi"/>
          <w:b/>
          <w:color w:val="auto"/>
          <w:sz w:val="22"/>
          <w:szCs w:val="22"/>
        </w:rPr>
        <w:t>Duna Takarék Bank Zrt. (DTB) központi teljesítmény értékelési és mozgóbérezési rendszerének</w:t>
      </w:r>
      <w:r w:rsidRPr="009C17BC">
        <w:rPr>
          <w:rFonts w:asciiTheme="minorHAnsi" w:eastAsiaTheme="minorEastAsia" w:hAnsiTheme="minorHAnsi" w:cstheme="minorHAnsi"/>
          <w:color w:val="auto"/>
          <w:sz w:val="22"/>
          <w:szCs w:val="22"/>
        </w:rPr>
        <w:t xml:space="preserve"> </w:t>
      </w:r>
      <w:r w:rsidRPr="009C17BC">
        <w:rPr>
          <w:rFonts w:asciiTheme="minorHAnsi" w:eastAsiaTheme="minorEastAsia" w:hAnsiTheme="minorHAnsi" w:cstheme="minorHAnsi"/>
          <w:b/>
          <w:color w:val="auto"/>
          <w:sz w:val="22"/>
          <w:szCs w:val="22"/>
        </w:rPr>
        <w:t xml:space="preserve">alapelvei </w:t>
      </w:r>
      <w:r w:rsidRPr="009C17BC">
        <w:rPr>
          <w:rFonts w:asciiTheme="minorHAnsi" w:eastAsiaTheme="minorEastAsia" w:hAnsiTheme="minorHAnsi" w:cstheme="minorHAnsi"/>
          <w:color w:val="auto"/>
          <w:sz w:val="22"/>
          <w:szCs w:val="22"/>
        </w:rPr>
        <w:t>- a Prémiumra jogosultakra vonatkozóan. A szabályzat elválaszthatatlan része a Javadalmazási Politikának (2</w:t>
      </w:r>
      <w:r w:rsidRPr="009C17BC">
        <w:rPr>
          <w:rFonts w:asciiTheme="minorHAnsi" w:eastAsiaTheme="minorEastAsia" w:hAnsiTheme="minorHAnsi" w:cstheme="minorHAnsi"/>
          <w:b/>
          <w:color w:val="auto"/>
          <w:sz w:val="22"/>
          <w:szCs w:val="22"/>
        </w:rPr>
        <w:t>. sz. melléklet</w:t>
      </w:r>
      <w:r w:rsidRPr="009C17BC">
        <w:rPr>
          <w:rFonts w:asciiTheme="minorHAnsi" w:eastAsiaTheme="minorEastAsia" w:hAnsiTheme="minorHAnsi" w:cstheme="minorHAnsi"/>
          <w:color w:val="auto"/>
          <w:sz w:val="22"/>
          <w:szCs w:val="22"/>
        </w:rPr>
        <w:t>).</w:t>
      </w:r>
      <w:bookmarkEnd w:id="94"/>
      <w:bookmarkEnd w:id="95"/>
    </w:p>
    <w:p w14:paraId="41FB2269" w14:textId="77777777" w:rsidR="00AA27CC" w:rsidRPr="009C17BC" w:rsidRDefault="00AA27CC" w:rsidP="003336E1">
      <w:pPr>
        <w:pStyle w:val="Cmsor3"/>
        <w:jc w:val="both"/>
        <w:rPr>
          <w:rFonts w:asciiTheme="minorHAnsi" w:eastAsiaTheme="minorEastAsia" w:hAnsiTheme="minorHAnsi" w:cstheme="minorHAnsi"/>
          <w:color w:val="auto"/>
          <w:sz w:val="22"/>
          <w:szCs w:val="22"/>
        </w:rPr>
      </w:pPr>
    </w:p>
    <w:p w14:paraId="5A63F382" w14:textId="77777777" w:rsidR="00AA27CC" w:rsidRPr="009C17BC" w:rsidRDefault="00AA27CC" w:rsidP="003336E1">
      <w:pPr>
        <w:pStyle w:val="Cmsor3"/>
        <w:jc w:val="both"/>
        <w:rPr>
          <w:rFonts w:asciiTheme="minorHAnsi" w:eastAsiaTheme="minorEastAsia" w:hAnsiTheme="minorHAnsi" w:cstheme="minorHAnsi"/>
          <w:color w:val="auto"/>
          <w:sz w:val="22"/>
          <w:szCs w:val="22"/>
        </w:rPr>
      </w:pPr>
      <w:bookmarkStart w:id="96" w:name="_Toc144110647"/>
      <w:bookmarkStart w:id="97" w:name="_Toc147237478"/>
      <w:r w:rsidRPr="009C17BC">
        <w:rPr>
          <w:rFonts w:asciiTheme="minorHAnsi" w:eastAsiaTheme="minorEastAsia" w:hAnsiTheme="minorHAnsi" w:cstheme="minorHAnsi"/>
          <w:color w:val="auto"/>
          <w:sz w:val="22"/>
          <w:szCs w:val="22"/>
        </w:rPr>
        <w:t>A szabályzat magában foglalja az alábbi iránymutatásokat:</w:t>
      </w:r>
      <w:bookmarkEnd w:id="96"/>
      <w:bookmarkEnd w:id="97"/>
    </w:p>
    <w:p w14:paraId="47819925" w14:textId="77777777" w:rsidR="00AA27CC" w:rsidRPr="009C17BC" w:rsidRDefault="00AA27CC" w:rsidP="003336E1">
      <w:pPr>
        <w:pStyle w:val="Listaszerbekezds"/>
        <w:numPr>
          <w:ilvl w:val="0"/>
          <w:numId w:val="13"/>
        </w:numPr>
        <w:jc w:val="both"/>
        <w:rPr>
          <w:rFonts w:cstheme="minorHAnsi"/>
        </w:rPr>
      </w:pPr>
      <w:r w:rsidRPr="009C17BC">
        <w:rPr>
          <w:rFonts w:cstheme="minorHAnsi"/>
        </w:rPr>
        <w:t>Az ösztönzési rendszer célja</w:t>
      </w:r>
    </w:p>
    <w:p w14:paraId="51DCEEE4" w14:textId="77777777" w:rsidR="00AA27CC" w:rsidRPr="009C17BC" w:rsidRDefault="00AA27CC" w:rsidP="003336E1">
      <w:pPr>
        <w:pStyle w:val="Listaszerbekezds"/>
        <w:numPr>
          <w:ilvl w:val="0"/>
          <w:numId w:val="13"/>
        </w:numPr>
        <w:jc w:val="both"/>
        <w:rPr>
          <w:rFonts w:cstheme="minorHAnsi"/>
        </w:rPr>
      </w:pPr>
      <w:r w:rsidRPr="009C17BC">
        <w:rPr>
          <w:rFonts w:cstheme="minorHAnsi"/>
        </w:rPr>
        <w:t>Az ösztönzési rendszer személyi hatálya</w:t>
      </w:r>
    </w:p>
    <w:p w14:paraId="23C5817D" w14:textId="77777777" w:rsidR="00AA27CC" w:rsidRPr="009C17BC" w:rsidRDefault="00AA27CC" w:rsidP="003336E1">
      <w:pPr>
        <w:pStyle w:val="Listaszerbekezds"/>
        <w:numPr>
          <w:ilvl w:val="0"/>
          <w:numId w:val="13"/>
        </w:numPr>
        <w:jc w:val="both"/>
        <w:rPr>
          <w:rFonts w:cstheme="minorHAnsi"/>
        </w:rPr>
      </w:pPr>
      <w:r w:rsidRPr="009C17BC">
        <w:rPr>
          <w:rFonts w:cstheme="minorHAnsi"/>
        </w:rPr>
        <w:t>Az ösztönzési rendszer formája</w:t>
      </w:r>
    </w:p>
    <w:p w14:paraId="6B055806" w14:textId="77777777" w:rsidR="00AA27CC" w:rsidRPr="009C17BC" w:rsidRDefault="00AA27CC" w:rsidP="003336E1">
      <w:pPr>
        <w:pStyle w:val="Listaszerbekezds"/>
        <w:numPr>
          <w:ilvl w:val="0"/>
          <w:numId w:val="13"/>
        </w:numPr>
        <w:jc w:val="both"/>
        <w:rPr>
          <w:rFonts w:cstheme="minorHAnsi"/>
        </w:rPr>
      </w:pPr>
      <w:r w:rsidRPr="009C17BC">
        <w:rPr>
          <w:rFonts w:cstheme="minorHAnsi"/>
        </w:rPr>
        <w:t>Az ösztönzési rendszer keretében történő pénzbeli juttatás teljesítésének feltételei</w:t>
      </w:r>
    </w:p>
    <w:p w14:paraId="470EC030" w14:textId="77777777" w:rsidR="00AA27CC" w:rsidRPr="009C17BC" w:rsidRDefault="00AA27CC" w:rsidP="003336E1">
      <w:pPr>
        <w:pStyle w:val="Listaszerbekezds"/>
        <w:numPr>
          <w:ilvl w:val="0"/>
          <w:numId w:val="13"/>
        </w:numPr>
        <w:jc w:val="both"/>
        <w:rPr>
          <w:rFonts w:cstheme="minorHAnsi"/>
        </w:rPr>
      </w:pPr>
      <w:r w:rsidRPr="009C17BC">
        <w:rPr>
          <w:rFonts w:cstheme="minorHAnsi"/>
        </w:rPr>
        <w:t>Az ösztönzési rendszer keretében adható pénzbeli juttatás lehetséges összege</w:t>
      </w:r>
    </w:p>
    <w:p w14:paraId="1BEFBB65" w14:textId="77777777" w:rsidR="00AA27CC" w:rsidRPr="009C17BC" w:rsidRDefault="00AA27CC" w:rsidP="003336E1">
      <w:pPr>
        <w:spacing w:after="0" w:line="240" w:lineRule="auto"/>
        <w:jc w:val="both"/>
        <w:rPr>
          <w:rFonts w:cstheme="minorHAnsi"/>
        </w:rPr>
      </w:pPr>
      <w:r w:rsidRPr="009C17BC">
        <w:rPr>
          <w:rFonts w:cstheme="minorHAnsi"/>
        </w:rPr>
        <w:t>Az előre rögzített objektív mutatók meghatározása során  az alábbi szempontokat kell figyelembe venni:</w:t>
      </w:r>
    </w:p>
    <w:p w14:paraId="56F4CFE1" w14:textId="77777777" w:rsidR="00AA27CC" w:rsidRPr="009C17BC" w:rsidRDefault="00AA27CC" w:rsidP="003336E1">
      <w:pPr>
        <w:pStyle w:val="Listaszerbekezds"/>
        <w:numPr>
          <w:ilvl w:val="0"/>
          <w:numId w:val="26"/>
        </w:numPr>
        <w:jc w:val="both"/>
        <w:rPr>
          <w:rFonts w:cstheme="minorHAnsi"/>
        </w:rPr>
      </w:pPr>
      <w:r w:rsidRPr="009C17BC">
        <w:rPr>
          <w:rFonts w:cstheme="minorHAnsi"/>
        </w:rPr>
        <w:t xml:space="preserve">az elért adózás előtti eredmény, </w:t>
      </w:r>
    </w:p>
    <w:p w14:paraId="08D7E1CE" w14:textId="77777777" w:rsidR="00AA27CC" w:rsidRPr="009C17BC" w:rsidRDefault="00AA27CC" w:rsidP="003336E1">
      <w:pPr>
        <w:pStyle w:val="Listaszerbekezds"/>
        <w:numPr>
          <w:ilvl w:val="0"/>
          <w:numId w:val="26"/>
        </w:numPr>
        <w:jc w:val="both"/>
        <w:rPr>
          <w:rFonts w:cstheme="minorHAnsi"/>
        </w:rPr>
      </w:pPr>
      <w:r w:rsidRPr="009C17BC">
        <w:rPr>
          <w:rFonts w:cstheme="minorHAnsi"/>
        </w:rPr>
        <w:t>a nem teljesítő hitelek részarányának változása,</w:t>
      </w:r>
    </w:p>
    <w:p w14:paraId="5CFE4100" w14:textId="77777777" w:rsidR="00AA27CC" w:rsidRPr="009C17BC" w:rsidRDefault="00AA27CC" w:rsidP="003336E1">
      <w:pPr>
        <w:pStyle w:val="Listaszerbekezds"/>
        <w:numPr>
          <w:ilvl w:val="0"/>
          <w:numId w:val="26"/>
        </w:numPr>
        <w:jc w:val="both"/>
        <w:rPr>
          <w:rFonts w:cstheme="minorHAnsi"/>
        </w:rPr>
      </w:pPr>
      <w:r w:rsidRPr="009C17BC">
        <w:rPr>
          <w:rFonts w:cstheme="minorHAnsi"/>
        </w:rPr>
        <w:t>a tőkekövetelmény előírásnak való megfelelés mértéke,</w:t>
      </w:r>
    </w:p>
    <w:p w14:paraId="21107A70" w14:textId="77777777" w:rsidR="00AA27CC" w:rsidRPr="009C17BC" w:rsidRDefault="00AA27CC" w:rsidP="003336E1">
      <w:pPr>
        <w:pStyle w:val="Listaszerbekezds"/>
        <w:numPr>
          <w:ilvl w:val="0"/>
          <w:numId w:val="26"/>
        </w:numPr>
        <w:jc w:val="both"/>
        <w:rPr>
          <w:rFonts w:cstheme="minorHAnsi"/>
        </w:rPr>
      </w:pPr>
      <w:r w:rsidRPr="009C17BC">
        <w:rPr>
          <w:rFonts w:cstheme="minorHAnsi"/>
        </w:rPr>
        <w:t>a likviditási kockázatokat mérő mutatószámok változása,</w:t>
      </w:r>
    </w:p>
    <w:p w14:paraId="1035E193" w14:textId="77777777" w:rsidR="00AA27CC" w:rsidRPr="009C17BC" w:rsidRDefault="00AA27CC" w:rsidP="003336E1">
      <w:pPr>
        <w:pStyle w:val="Listaszerbekezds"/>
        <w:numPr>
          <w:ilvl w:val="0"/>
          <w:numId w:val="26"/>
        </w:numPr>
        <w:jc w:val="both"/>
        <w:rPr>
          <w:rFonts w:cstheme="minorHAnsi"/>
        </w:rPr>
      </w:pPr>
      <w:r w:rsidRPr="009C17BC">
        <w:rPr>
          <w:rFonts w:cstheme="minorHAnsi"/>
        </w:rPr>
        <w:t>a Bank által meghatározott egyéb szempont</w:t>
      </w:r>
    </w:p>
    <w:p w14:paraId="7E1B716E" w14:textId="77777777" w:rsidR="00AA27CC" w:rsidRPr="009C17BC" w:rsidRDefault="00AA27CC" w:rsidP="003336E1">
      <w:pPr>
        <w:spacing w:before="100" w:beforeAutospacing="1" w:after="100" w:afterAutospacing="1" w:line="240" w:lineRule="auto"/>
        <w:jc w:val="both"/>
        <w:rPr>
          <w:rFonts w:cstheme="minorHAnsi"/>
        </w:rPr>
      </w:pPr>
      <w:r w:rsidRPr="009C17BC">
        <w:rPr>
          <w:rFonts w:cstheme="minorHAnsi"/>
        </w:rPr>
        <w:t xml:space="preserve">A célkitűzés és a tényleges teljesítmény értékelés folyamatát, rendjét és operatív feladatait a 7. pont, továbbá a szabályzat 5. számú melléklete részletezi. </w:t>
      </w:r>
    </w:p>
    <w:p w14:paraId="7DDB8F87" w14:textId="77777777" w:rsidR="00AA27CC" w:rsidRPr="009C17BC" w:rsidRDefault="00AA27CC" w:rsidP="003336E1">
      <w:pPr>
        <w:spacing w:after="0" w:line="240" w:lineRule="auto"/>
        <w:jc w:val="both"/>
        <w:rPr>
          <w:rFonts w:cstheme="minorHAnsi"/>
        </w:rPr>
      </w:pPr>
      <w:r w:rsidRPr="009C17BC">
        <w:rPr>
          <w:rFonts w:cstheme="minorHAnsi"/>
        </w:rPr>
        <w:t>Prémiumra az a munkavállaló jogosult, aki az alábbi kritériumok mindegyikének megfelel:</w:t>
      </w:r>
    </w:p>
    <w:p w14:paraId="6B1E36EF" w14:textId="77777777" w:rsidR="00AA27CC" w:rsidRPr="009C17BC" w:rsidRDefault="00AA27CC" w:rsidP="003336E1">
      <w:pPr>
        <w:numPr>
          <w:ilvl w:val="0"/>
          <w:numId w:val="14"/>
        </w:numPr>
        <w:spacing w:before="100" w:beforeAutospacing="1" w:after="0" w:line="240" w:lineRule="auto"/>
        <w:ind w:left="1775" w:hanging="357"/>
        <w:jc w:val="both"/>
        <w:rPr>
          <w:rFonts w:cstheme="minorHAnsi"/>
        </w:rPr>
      </w:pPr>
      <w:r w:rsidRPr="009C17BC">
        <w:rPr>
          <w:rFonts w:cstheme="minorHAnsi"/>
        </w:rPr>
        <w:t>rendelkezik az adott évre érvényes célkitűzéssel,</w:t>
      </w:r>
    </w:p>
    <w:p w14:paraId="012E69A3" w14:textId="77777777" w:rsidR="00AA27CC" w:rsidRPr="009C17BC" w:rsidRDefault="00AA27CC" w:rsidP="003336E1">
      <w:pPr>
        <w:numPr>
          <w:ilvl w:val="0"/>
          <w:numId w:val="14"/>
        </w:numPr>
        <w:spacing w:before="100" w:beforeAutospacing="1" w:after="0" w:line="240" w:lineRule="auto"/>
        <w:ind w:left="1775" w:hanging="357"/>
        <w:jc w:val="both"/>
        <w:rPr>
          <w:rFonts w:cstheme="minorHAnsi"/>
        </w:rPr>
      </w:pPr>
      <w:r w:rsidRPr="009C17BC">
        <w:rPr>
          <w:rFonts w:cstheme="minorHAnsi"/>
        </w:rPr>
        <w:t>az értékelt időszaknak legalább az 50%-át aktív munkaviszonyban (30 napot meghaladó tartós távollét pl. betegség, GYED, GYES, nem számít aktív munkaviszonynak) töltötte</w:t>
      </w:r>
    </w:p>
    <w:p w14:paraId="6C973A99" w14:textId="77777777" w:rsidR="00AA27CC" w:rsidRPr="009C17BC" w:rsidRDefault="00AA27CC" w:rsidP="003336E1">
      <w:pPr>
        <w:spacing w:after="0" w:line="240" w:lineRule="auto"/>
        <w:jc w:val="both"/>
        <w:rPr>
          <w:rFonts w:cstheme="minorHAnsi"/>
          <w:bCs/>
          <w:kern w:val="32"/>
        </w:rPr>
      </w:pPr>
      <w:r w:rsidRPr="009C17BC">
        <w:rPr>
          <w:rFonts w:cstheme="minorHAnsi"/>
        </w:rPr>
        <w:t>Kizárja a kifizetést, ha</w:t>
      </w:r>
    </w:p>
    <w:p w14:paraId="00AFFC1E" w14:textId="77777777" w:rsidR="00AA27CC" w:rsidRPr="009C17BC" w:rsidRDefault="00AA27CC" w:rsidP="003336E1">
      <w:pPr>
        <w:numPr>
          <w:ilvl w:val="0"/>
          <w:numId w:val="14"/>
        </w:numPr>
        <w:spacing w:before="100" w:beforeAutospacing="1" w:after="100" w:afterAutospacing="1" w:line="240" w:lineRule="auto"/>
        <w:jc w:val="both"/>
        <w:rPr>
          <w:rFonts w:cstheme="minorHAnsi"/>
        </w:rPr>
      </w:pPr>
      <w:r w:rsidRPr="009C17BC">
        <w:rPr>
          <w:rFonts w:cstheme="minorHAnsi"/>
        </w:rPr>
        <w:t>a Bank esetében a tőke megfelelési mutató(k) jogszabályban előírt szint alatt marad,</w:t>
      </w:r>
    </w:p>
    <w:p w14:paraId="7A67C590" w14:textId="77777777" w:rsidR="00AA27CC" w:rsidRPr="009C17BC" w:rsidRDefault="00AA27CC" w:rsidP="003336E1">
      <w:pPr>
        <w:numPr>
          <w:ilvl w:val="0"/>
          <w:numId w:val="14"/>
        </w:numPr>
        <w:spacing w:before="100" w:beforeAutospacing="1" w:after="100" w:afterAutospacing="1" w:line="240" w:lineRule="auto"/>
        <w:jc w:val="both"/>
        <w:rPr>
          <w:rFonts w:cstheme="minorHAnsi"/>
        </w:rPr>
      </w:pPr>
      <w:r w:rsidRPr="009C17BC">
        <w:rPr>
          <w:rFonts w:cstheme="minorHAnsi"/>
        </w:rPr>
        <w:t>a Bank tárgyévi eredménye veszteség (kivéve, ha a Duna Takarék Bank Zrt. Igazgatósága ettől eltérő módon dönt),</w:t>
      </w:r>
    </w:p>
    <w:p w14:paraId="7A132E21" w14:textId="77777777" w:rsidR="00AA27CC" w:rsidRPr="009C17BC" w:rsidRDefault="00AA27CC" w:rsidP="003336E1">
      <w:pPr>
        <w:numPr>
          <w:ilvl w:val="0"/>
          <w:numId w:val="14"/>
        </w:numPr>
        <w:spacing w:before="100" w:beforeAutospacing="1" w:after="240" w:line="240" w:lineRule="auto"/>
        <w:jc w:val="both"/>
        <w:rPr>
          <w:rFonts w:cstheme="minorHAnsi"/>
        </w:rPr>
      </w:pPr>
      <w:r w:rsidRPr="009C17BC">
        <w:rPr>
          <w:rFonts w:cstheme="minorHAnsi"/>
        </w:rPr>
        <w:t>a személy magatartása a Banknak veszteséget okozott.</w:t>
      </w:r>
    </w:p>
    <w:p w14:paraId="4CDDA74A" w14:textId="77777777" w:rsidR="00AA27CC" w:rsidRPr="009C17BC" w:rsidRDefault="00AA27CC" w:rsidP="003336E1">
      <w:pPr>
        <w:spacing w:after="0" w:line="240" w:lineRule="auto"/>
        <w:jc w:val="both"/>
        <w:rPr>
          <w:rFonts w:cstheme="minorHAnsi"/>
        </w:rPr>
      </w:pPr>
      <w:r w:rsidRPr="009C17BC">
        <w:rPr>
          <w:rFonts w:cstheme="minorHAnsi"/>
        </w:rPr>
        <w:t>A Prémium juttatásának eszköze: 100% készpénz</w:t>
      </w:r>
    </w:p>
    <w:p w14:paraId="6E67B319" w14:textId="77777777" w:rsidR="00AA27CC" w:rsidRPr="009C17BC" w:rsidRDefault="00AA27CC" w:rsidP="003336E1">
      <w:pPr>
        <w:spacing w:after="0" w:line="240" w:lineRule="auto"/>
        <w:ind w:firstLine="708"/>
        <w:jc w:val="both"/>
        <w:rPr>
          <w:rFonts w:cstheme="minorHAnsi"/>
          <w:u w:val="single"/>
        </w:rPr>
      </w:pPr>
    </w:p>
    <w:p w14:paraId="3960AFDB" w14:textId="77777777" w:rsidR="00BD0FB4" w:rsidRPr="009C17BC" w:rsidRDefault="00BD0FB4" w:rsidP="003336E1">
      <w:pPr>
        <w:spacing w:after="0" w:line="240" w:lineRule="auto"/>
        <w:ind w:firstLine="708"/>
        <w:jc w:val="both"/>
        <w:rPr>
          <w:rFonts w:cstheme="minorHAnsi"/>
          <w:u w:val="single"/>
        </w:rPr>
      </w:pPr>
    </w:p>
    <w:p w14:paraId="3EE45B3D" w14:textId="77777777" w:rsidR="00BD0FB4" w:rsidRPr="009C17BC" w:rsidRDefault="00BD0FB4" w:rsidP="003336E1">
      <w:pPr>
        <w:spacing w:after="0" w:line="240" w:lineRule="auto"/>
        <w:ind w:firstLine="708"/>
        <w:jc w:val="both"/>
        <w:rPr>
          <w:rFonts w:cstheme="minorHAnsi"/>
          <w:u w:val="single"/>
        </w:rPr>
      </w:pPr>
    </w:p>
    <w:p w14:paraId="1346EA07" w14:textId="77777777" w:rsidR="00BD0FB4" w:rsidRPr="009C17BC" w:rsidRDefault="00BD0FB4" w:rsidP="003336E1">
      <w:pPr>
        <w:spacing w:after="0" w:line="240" w:lineRule="auto"/>
        <w:ind w:firstLine="708"/>
        <w:jc w:val="both"/>
        <w:rPr>
          <w:rFonts w:cstheme="minorHAnsi"/>
          <w:u w:val="single"/>
        </w:rPr>
      </w:pPr>
    </w:p>
    <w:p w14:paraId="1B4EB188" w14:textId="77777777" w:rsidR="00AA27CC" w:rsidRPr="009C17BC" w:rsidRDefault="00AA27CC" w:rsidP="003336E1">
      <w:pPr>
        <w:pStyle w:val="Listaszerbekezds"/>
        <w:ind w:left="0"/>
        <w:jc w:val="both"/>
        <w:rPr>
          <w:rFonts w:cstheme="minorHAnsi"/>
        </w:rPr>
      </w:pPr>
      <w:r w:rsidRPr="009C17BC">
        <w:rPr>
          <w:rFonts w:cstheme="minorHAnsi"/>
        </w:rPr>
        <w:t>A prémium maximális aránya:</w:t>
      </w:r>
    </w:p>
    <w:tbl>
      <w:tblPr>
        <w:tblStyle w:val="Rcsostblzat"/>
        <w:tblW w:w="0" w:type="auto"/>
        <w:jc w:val="center"/>
        <w:tblLook w:val="04A0" w:firstRow="1" w:lastRow="0" w:firstColumn="1" w:lastColumn="0" w:noHBand="0" w:noVBand="1"/>
      </w:tblPr>
      <w:tblGrid>
        <w:gridCol w:w="4961"/>
        <w:gridCol w:w="1418"/>
      </w:tblGrid>
      <w:tr w:rsidR="00AA27CC" w:rsidRPr="009C17BC" w14:paraId="0EC52EA5" w14:textId="77777777" w:rsidTr="00CE0965">
        <w:trPr>
          <w:trHeight w:val="366"/>
          <w:jc w:val="center"/>
        </w:trPr>
        <w:tc>
          <w:tcPr>
            <w:tcW w:w="4961" w:type="dxa"/>
            <w:shd w:val="clear" w:color="auto" w:fill="BFBFBF" w:themeFill="background1" w:themeFillShade="BF"/>
          </w:tcPr>
          <w:p w14:paraId="34FD742A" w14:textId="77777777" w:rsidR="00AA27CC" w:rsidRPr="009C17BC" w:rsidRDefault="00AA27CC" w:rsidP="003336E1">
            <w:pPr>
              <w:pStyle w:val="Listaszerbekezds"/>
              <w:ind w:left="0"/>
              <w:jc w:val="both"/>
              <w:rPr>
                <w:rFonts w:cstheme="minorHAnsi"/>
                <w:b/>
              </w:rPr>
            </w:pPr>
            <w:r w:rsidRPr="009C17BC">
              <w:rPr>
                <w:rFonts w:cstheme="minorHAnsi"/>
                <w:b/>
              </w:rPr>
              <w:t>Kategória</w:t>
            </w:r>
          </w:p>
        </w:tc>
        <w:tc>
          <w:tcPr>
            <w:tcW w:w="1418" w:type="dxa"/>
            <w:shd w:val="clear" w:color="auto" w:fill="BFBFBF" w:themeFill="background1" w:themeFillShade="BF"/>
          </w:tcPr>
          <w:p w14:paraId="7A5E4D37" w14:textId="77777777" w:rsidR="00AA27CC" w:rsidRPr="009C17BC" w:rsidRDefault="00AA27CC" w:rsidP="003336E1">
            <w:pPr>
              <w:pStyle w:val="Listaszerbekezds"/>
              <w:ind w:left="0"/>
              <w:jc w:val="both"/>
              <w:rPr>
                <w:rFonts w:cstheme="minorHAnsi"/>
                <w:b/>
              </w:rPr>
            </w:pPr>
            <w:r w:rsidRPr="009C17BC">
              <w:rPr>
                <w:rFonts w:cstheme="minorHAnsi"/>
                <w:b/>
              </w:rPr>
              <w:t>Arány</w:t>
            </w:r>
          </w:p>
        </w:tc>
      </w:tr>
      <w:tr w:rsidR="00AA27CC" w:rsidRPr="009C17BC" w14:paraId="592BBA4B" w14:textId="77777777" w:rsidTr="00CE0965">
        <w:trPr>
          <w:jc w:val="center"/>
        </w:trPr>
        <w:tc>
          <w:tcPr>
            <w:tcW w:w="4961" w:type="dxa"/>
          </w:tcPr>
          <w:p w14:paraId="3D9B2691" w14:textId="77777777" w:rsidR="00AA27CC" w:rsidRPr="009C17BC" w:rsidRDefault="00AA27CC" w:rsidP="003336E1">
            <w:pPr>
              <w:pStyle w:val="Listaszerbekezds"/>
              <w:numPr>
                <w:ilvl w:val="0"/>
                <w:numId w:val="27"/>
              </w:numPr>
              <w:jc w:val="both"/>
              <w:rPr>
                <w:rFonts w:cstheme="minorHAnsi"/>
              </w:rPr>
            </w:pPr>
            <w:r w:rsidRPr="009C17BC">
              <w:rPr>
                <w:rFonts w:cstheme="minorHAnsi"/>
              </w:rPr>
              <w:t>Vezető állású és vezető beosztású munkavállalók</w:t>
            </w:r>
          </w:p>
        </w:tc>
        <w:tc>
          <w:tcPr>
            <w:tcW w:w="1418" w:type="dxa"/>
          </w:tcPr>
          <w:p w14:paraId="04234C1D" w14:textId="77777777" w:rsidR="00AA27CC" w:rsidRPr="009C17BC" w:rsidRDefault="00AA27CC" w:rsidP="003336E1">
            <w:pPr>
              <w:pStyle w:val="Listaszerbekezds"/>
              <w:ind w:left="0"/>
              <w:jc w:val="both"/>
              <w:rPr>
                <w:rFonts w:cstheme="minorHAnsi"/>
              </w:rPr>
            </w:pPr>
            <w:r w:rsidRPr="009C17BC">
              <w:rPr>
                <w:rFonts w:cstheme="minorHAnsi"/>
              </w:rPr>
              <w:t>2/12-ed</w:t>
            </w:r>
          </w:p>
        </w:tc>
      </w:tr>
      <w:tr w:rsidR="00AA27CC" w:rsidRPr="009C17BC" w14:paraId="727F4D35" w14:textId="77777777" w:rsidTr="00CE0965">
        <w:trPr>
          <w:jc w:val="center"/>
        </w:trPr>
        <w:tc>
          <w:tcPr>
            <w:tcW w:w="4961" w:type="dxa"/>
          </w:tcPr>
          <w:p w14:paraId="7D96AD34" w14:textId="77777777" w:rsidR="00AA27CC" w:rsidRPr="009C17BC" w:rsidRDefault="00AA27CC" w:rsidP="003336E1">
            <w:pPr>
              <w:pStyle w:val="Listaszerbekezds"/>
              <w:numPr>
                <w:ilvl w:val="0"/>
                <w:numId w:val="27"/>
              </w:numPr>
              <w:jc w:val="both"/>
              <w:rPr>
                <w:rFonts w:cstheme="minorHAnsi"/>
              </w:rPr>
            </w:pPr>
            <w:r w:rsidRPr="009C17BC">
              <w:rPr>
                <w:rFonts w:cstheme="minorHAnsi"/>
              </w:rPr>
              <w:t xml:space="preserve">Értékesítést </w:t>
            </w:r>
            <w:r w:rsidRPr="009C17BC">
              <w:rPr>
                <w:rFonts w:cstheme="minorHAnsi"/>
                <w:u w:val="single"/>
              </w:rPr>
              <w:t>nem</w:t>
            </w:r>
            <w:r w:rsidRPr="009C17BC">
              <w:rPr>
                <w:rFonts w:cstheme="minorHAnsi"/>
              </w:rPr>
              <w:t xml:space="preserve"> végző beosztott munkavállalók</w:t>
            </w:r>
          </w:p>
        </w:tc>
        <w:tc>
          <w:tcPr>
            <w:tcW w:w="1418" w:type="dxa"/>
          </w:tcPr>
          <w:p w14:paraId="187F9B8E" w14:textId="77777777" w:rsidR="00AA27CC" w:rsidRPr="009C17BC" w:rsidRDefault="00AA27CC" w:rsidP="003336E1">
            <w:pPr>
              <w:pStyle w:val="Listaszerbekezds"/>
              <w:ind w:left="0"/>
              <w:jc w:val="both"/>
              <w:rPr>
                <w:rFonts w:cstheme="minorHAnsi"/>
              </w:rPr>
            </w:pPr>
            <w:r w:rsidRPr="009C17BC">
              <w:rPr>
                <w:rFonts w:cstheme="minorHAnsi"/>
              </w:rPr>
              <w:t>1/12-ed</w:t>
            </w:r>
          </w:p>
        </w:tc>
      </w:tr>
    </w:tbl>
    <w:p w14:paraId="18C1D40E" w14:textId="77777777" w:rsidR="00AA27CC" w:rsidRPr="009C17BC" w:rsidRDefault="00AA27CC" w:rsidP="003336E1">
      <w:pPr>
        <w:jc w:val="both"/>
        <w:rPr>
          <w:rFonts w:cstheme="minorHAnsi"/>
          <w:b/>
        </w:rPr>
      </w:pPr>
    </w:p>
    <w:p w14:paraId="5EF0E2D8" w14:textId="77777777" w:rsidR="00AA27CC" w:rsidRPr="009C17BC" w:rsidRDefault="00AA27CC" w:rsidP="003336E1">
      <w:pPr>
        <w:jc w:val="both"/>
        <w:rPr>
          <w:rFonts w:cstheme="minorHAnsi"/>
          <w:b/>
        </w:rPr>
      </w:pPr>
      <w:r w:rsidRPr="009C17BC">
        <w:rPr>
          <w:rFonts w:cstheme="minorHAnsi"/>
        </w:rPr>
        <w:t>Fentiek alól kivételt jelentenek az egyéni teljesítmény alapján ösztönzött munkatársak, nekik 12/12-ed arány lehet a prémium maximális aránya.</w:t>
      </w:r>
    </w:p>
    <w:p w14:paraId="5A3B566D" w14:textId="77777777" w:rsidR="00AA27CC" w:rsidRPr="009C17BC" w:rsidRDefault="00AA27CC" w:rsidP="003336E1">
      <w:pPr>
        <w:spacing w:after="0" w:line="240" w:lineRule="auto"/>
        <w:jc w:val="both"/>
        <w:rPr>
          <w:rFonts w:cstheme="minorHAnsi"/>
          <w:u w:val="single"/>
        </w:rPr>
      </w:pPr>
    </w:p>
    <w:p w14:paraId="316F8B42" w14:textId="77777777" w:rsidR="00AA27CC" w:rsidRPr="009C17BC" w:rsidRDefault="00AA27CC" w:rsidP="003336E1">
      <w:pPr>
        <w:spacing w:after="0" w:line="240" w:lineRule="auto"/>
        <w:jc w:val="both"/>
        <w:rPr>
          <w:rFonts w:cstheme="minorHAnsi"/>
          <w:u w:val="single"/>
        </w:rPr>
      </w:pPr>
      <w:r w:rsidRPr="009C17BC">
        <w:rPr>
          <w:rFonts w:cstheme="minorHAnsi"/>
          <w:u w:val="single"/>
        </w:rPr>
        <w:t>Célprémium</w:t>
      </w:r>
    </w:p>
    <w:p w14:paraId="1F3E3FE4" w14:textId="77777777" w:rsidR="00AA27CC" w:rsidRPr="009C17BC" w:rsidRDefault="00AA27CC" w:rsidP="003336E1">
      <w:pPr>
        <w:spacing w:after="0" w:line="240" w:lineRule="auto"/>
        <w:jc w:val="both"/>
        <w:rPr>
          <w:rFonts w:cstheme="minorHAnsi"/>
          <w:u w:val="single"/>
        </w:rPr>
      </w:pPr>
    </w:p>
    <w:p w14:paraId="3225CA4C" w14:textId="77777777" w:rsidR="00AA27CC" w:rsidRPr="009C17BC" w:rsidRDefault="00AA27CC" w:rsidP="003336E1">
      <w:pPr>
        <w:spacing w:after="0" w:line="240" w:lineRule="auto"/>
        <w:jc w:val="both"/>
        <w:rPr>
          <w:rFonts w:cstheme="minorHAnsi"/>
        </w:rPr>
      </w:pPr>
      <w:r w:rsidRPr="009C17BC">
        <w:rPr>
          <w:rFonts w:cstheme="minorHAnsi"/>
        </w:rPr>
        <w:t xml:space="preserve">A célprémium feltételek meghatározása a munkáltató egyedi döntése, a munkáltató nem köteles célprémium kitűzésére. </w:t>
      </w:r>
    </w:p>
    <w:p w14:paraId="6ECE8F7C" w14:textId="77777777" w:rsidR="00AA27CC" w:rsidRPr="009C17BC" w:rsidRDefault="00AA27CC" w:rsidP="003336E1">
      <w:pPr>
        <w:spacing w:after="0" w:line="240" w:lineRule="auto"/>
        <w:jc w:val="both"/>
        <w:rPr>
          <w:rFonts w:cstheme="minorHAnsi"/>
        </w:rPr>
      </w:pPr>
      <w:r w:rsidRPr="009C17BC">
        <w:rPr>
          <w:rFonts w:cstheme="minorHAnsi"/>
        </w:rPr>
        <w:t>Munkaszerződésben, egyéb megállapodásban célprémium javadalomra kötelezettség nem vállalható. Semmilyen teljesítményjavadalmazásra nem vállalható kötelezettség és nem képezheti részét a jövőbeli javadalmazási terveknek. A célprémium mértéke maximum az éves alapbér 100 %-a lehet.</w:t>
      </w:r>
    </w:p>
    <w:p w14:paraId="05638C00" w14:textId="77777777" w:rsidR="00AA27CC" w:rsidRPr="009C17BC" w:rsidRDefault="00AA27CC" w:rsidP="003336E1">
      <w:pPr>
        <w:spacing w:after="0" w:line="240" w:lineRule="auto"/>
        <w:jc w:val="both"/>
        <w:rPr>
          <w:rFonts w:cstheme="minorHAnsi"/>
        </w:rPr>
      </w:pPr>
    </w:p>
    <w:p w14:paraId="56FE8A88" w14:textId="77777777" w:rsidR="00AA27CC" w:rsidRPr="009C17BC" w:rsidRDefault="00AA27CC" w:rsidP="003336E1">
      <w:pPr>
        <w:spacing w:after="0" w:line="240" w:lineRule="auto"/>
        <w:jc w:val="both"/>
        <w:rPr>
          <w:rFonts w:cstheme="minorHAnsi"/>
        </w:rPr>
      </w:pPr>
      <w:r w:rsidRPr="009C17BC">
        <w:rPr>
          <w:rFonts w:cstheme="minorHAnsi"/>
        </w:rPr>
        <w:t>Célprémiumra az a munkavállaló jogosult, aki az alábbi kritériumok mindegyikének megfelel:</w:t>
      </w:r>
    </w:p>
    <w:p w14:paraId="7E155586" w14:textId="77777777" w:rsidR="00AA27CC" w:rsidRPr="009C17BC" w:rsidRDefault="00AA27CC" w:rsidP="003336E1">
      <w:pPr>
        <w:numPr>
          <w:ilvl w:val="0"/>
          <w:numId w:val="14"/>
        </w:numPr>
        <w:spacing w:before="100" w:beforeAutospacing="1" w:after="0" w:line="240" w:lineRule="auto"/>
        <w:ind w:left="1775" w:hanging="357"/>
        <w:jc w:val="both"/>
        <w:rPr>
          <w:rFonts w:cstheme="minorHAnsi"/>
        </w:rPr>
      </w:pPr>
      <w:r w:rsidRPr="009C17BC">
        <w:rPr>
          <w:rFonts w:cstheme="minorHAnsi"/>
        </w:rPr>
        <w:t>rendelkezik az adott évre érvényes célkitűzéssel,</w:t>
      </w:r>
    </w:p>
    <w:p w14:paraId="137EF8E2" w14:textId="77777777" w:rsidR="00AA27CC" w:rsidRPr="009C17BC" w:rsidRDefault="00AA27CC" w:rsidP="003336E1">
      <w:pPr>
        <w:numPr>
          <w:ilvl w:val="0"/>
          <w:numId w:val="14"/>
        </w:numPr>
        <w:spacing w:before="100" w:beforeAutospacing="1" w:after="0" w:line="240" w:lineRule="auto"/>
        <w:ind w:left="1775" w:hanging="357"/>
        <w:jc w:val="both"/>
        <w:rPr>
          <w:rFonts w:cstheme="minorHAnsi"/>
        </w:rPr>
      </w:pPr>
      <w:r w:rsidRPr="009C17BC">
        <w:rPr>
          <w:rFonts w:cstheme="minorHAnsi"/>
        </w:rPr>
        <w:t>az értékelt időszaknak legalább az 50%-át aktív munkaviszonyban (30 napot meghaladó tartós távollét pl. betegség, GYED, GYES, nem számít aktív munkaviszonynak) töltötte</w:t>
      </w:r>
    </w:p>
    <w:p w14:paraId="091EABAE" w14:textId="77777777" w:rsidR="00AA27CC" w:rsidRPr="009C17BC" w:rsidRDefault="00AA27CC" w:rsidP="003336E1">
      <w:pPr>
        <w:spacing w:line="240" w:lineRule="auto"/>
        <w:jc w:val="both"/>
        <w:rPr>
          <w:rFonts w:cstheme="minorHAnsi"/>
        </w:rPr>
      </w:pPr>
      <w:r w:rsidRPr="009C17BC">
        <w:rPr>
          <w:rFonts w:cstheme="minorHAnsi"/>
        </w:rPr>
        <w:t xml:space="preserve">A célprémium kifizetése készpénzben történik. </w:t>
      </w:r>
      <w:r w:rsidRPr="009C17BC">
        <w:rPr>
          <w:rFonts w:cstheme="minorHAnsi"/>
          <w:highlight w:val="yellow"/>
        </w:rPr>
        <w:t>Amennyiben a célprémiumhoz kapcsolódó teljesítmény értékelés 80%-</w:t>
      </w:r>
      <w:proofErr w:type="spellStart"/>
      <w:r w:rsidRPr="009C17BC">
        <w:rPr>
          <w:rFonts w:cstheme="minorHAnsi"/>
          <w:highlight w:val="yellow"/>
        </w:rPr>
        <w:t>nál</w:t>
      </w:r>
      <w:proofErr w:type="spellEnd"/>
      <w:r w:rsidRPr="009C17BC">
        <w:rPr>
          <w:rFonts w:cstheme="minorHAnsi"/>
          <w:highlight w:val="yellow"/>
        </w:rPr>
        <w:t xml:space="preserve"> alacsonyabb értékű, a célprémium összege az értékelés százalékos arányában kerül kifizetésre.</w:t>
      </w:r>
    </w:p>
    <w:p w14:paraId="1B398B05" w14:textId="77777777" w:rsidR="00AA27CC" w:rsidRPr="009C17BC" w:rsidRDefault="00AA27CC" w:rsidP="003336E1">
      <w:pPr>
        <w:spacing w:after="0" w:line="240" w:lineRule="auto"/>
        <w:jc w:val="both"/>
        <w:rPr>
          <w:rFonts w:cstheme="minorHAnsi"/>
          <w:u w:val="single"/>
        </w:rPr>
      </w:pPr>
    </w:p>
    <w:p w14:paraId="0996F13F" w14:textId="77777777" w:rsidR="00AA27CC" w:rsidRPr="009C17BC" w:rsidRDefault="00AA27CC" w:rsidP="003336E1">
      <w:pPr>
        <w:spacing w:after="0" w:line="240" w:lineRule="auto"/>
        <w:jc w:val="both"/>
        <w:rPr>
          <w:rFonts w:cstheme="minorHAnsi"/>
          <w:u w:val="single"/>
        </w:rPr>
      </w:pPr>
      <w:r w:rsidRPr="009C17BC">
        <w:rPr>
          <w:rFonts w:cstheme="minorHAnsi"/>
          <w:u w:val="single"/>
        </w:rPr>
        <w:t>Jutalom</w:t>
      </w:r>
    </w:p>
    <w:p w14:paraId="7EB1BABA" w14:textId="77777777" w:rsidR="00AA27CC" w:rsidRPr="009C17BC" w:rsidRDefault="00AA27CC" w:rsidP="003336E1">
      <w:pPr>
        <w:spacing w:after="0" w:line="240" w:lineRule="auto"/>
        <w:jc w:val="both"/>
        <w:rPr>
          <w:rFonts w:cstheme="minorHAnsi"/>
          <w:u w:val="single"/>
        </w:rPr>
      </w:pPr>
    </w:p>
    <w:p w14:paraId="03555E4C" w14:textId="77777777" w:rsidR="00AA27CC" w:rsidRPr="009C17BC" w:rsidRDefault="00AA27CC" w:rsidP="003336E1">
      <w:pPr>
        <w:spacing w:after="0" w:line="240" w:lineRule="auto"/>
        <w:jc w:val="both"/>
        <w:rPr>
          <w:rFonts w:cstheme="minorHAnsi"/>
        </w:rPr>
      </w:pPr>
      <w:r w:rsidRPr="009C17BC">
        <w:rPr>
          <w:rFonts w:cstheme="minorHAnsi"/>
        </w:rPr>
        <w:t xml:space="preserve">Jutalom a kitűzött egyéni teljesítmény értékelése alapján, vagy a munkáltató diszkrecionális döntése szerint, a munka utólagos elismeréseként adható. </w:t>
      </w:r>
    </w:p>
    <w:p w14:paraId="7D0F2C4C" w14:textId="77777777" w:rsidR="00AA27CC" w:rsidRPr="009C17BC" w:rsidRDefault="00AA27CC" w:rsidP="003336E1">
      <w:pPr>
        <w:spacing w:after="0" w:line="240" w:lineRule="auto"/>
        <w:jc w:val="both"/>
        <w:rPr>
          <w:rFonts w:cstheme="minorHAnsi"/>
        </w:rPr>
      </w:pPr>
    </w:p>
    <w:p w14:paraId="4A2363A3" w14:textId="77777777" w:rsidR="00AA27CC" w:rsidRPr="009C17BC" w:rsidRDefault="00AA27CC" w:rsidP="003336E1">
      <w:pPr>
        <w:spacing w:line="240" w:lineRule="auto"/>
        <w:jc w:val="both"/>
        <w:rPr>
          <w:rFonts w:cstheme="minorHAnsi"/>
        </w:rPr>
      </w:pPr>
      <w:r w:rsidRPr="009C17BC">
        <w:rPr>
          <w:rFonts w:cstheme="minorHAnsi"/>
        </w:rPr>
        <w:t xml:space="preserve">A jutalom kifizetése készpénzben történik. </w:t>
      </w:r>
      <w:r w:rsidRPr="009C17BC">
        <w:rPr>
          <w:rFonts w:cstheme="minorHAnsi"/>
          <w:highlight w:val="yellow"/>
        </w:rPr>
        <w:t>Amennyiben a jutalomhoz kapcsolódó teljesítmény értékelés 80%-</w:t>
      </w:r>
      <w:proofErr w:type="spellStart"/>
      <w:r w:rsidRPr="009C17BC">
        <w:rPr>
          <w:rFonts w:cstheme="minorHAnsi"/>
          <w:highlight w:val="yellow"/>
        </w:rPr>
        <w:t>nál</w:t>
      </w:r>
      <w:proofErr w:type="spellEnd"/>
      <w:r w:rsidRPr="009C17BC">
        <w:rPr>
          <w:rFonts w:cstheme="minorHAnsi"/>
          <w:highlight w:val="yellow"/>
        </w:rPr>
        <w:t xml:space="preserve"> alacsonyabb értékű, a jutalom összege az értékelés százalékos arányában kerül kifizetésre.</w:t>
      </w:r>
    </w:p>
    <w:p w14:paraId="4AB230B7" w14:textId="77777777" w:rsidR="00AA27CC" w:rsidRPr="009C17BC" w:rsidRDefault="00AA27CC" w:rsidP="003336E1">
      <w:pPr>
        <w:spacing w:after="0" w:line="240" w:lineRule="auto"/>
        <w:jc w:val="both"/>
        <w:rPr>
          <w:rFonts w:cstheme="minorHAnsi"/>
          <w:u w:val="single"/>
        </w:rPr>
      </w:pPr>
    </w:p>
    <w:p w14:paraId="3103C7C7" w14:textId="77777777" w:rsidR="00AA27CC" w:rsidRPr="009C17BC" w:rsidRDefault="00AA27CC" w:rsidP="003336E1">
      <w:pPr>
        <w:spacing w:after="0" w:line="240" w:lineRule="auto"/>
        <w:jc w:val="both"/>
        <w:rPr>
          <w:rFonts w:cstheme="minorHAnsi"/>
          <w:u w:val="single"/>
        </w:rPr>
      </w:pPr>
      <w:r w:rsidRPr="009C17BC">
        <w:rPr>
          <w:rFonts w:cstheme="minorHAnsi"/>
          <w:u w:val="single"/>
        </w:rPr>
        <w:t>Jutalék</w:t>
      </w:r>
    </w:p>
    <w:p w14:paraId="7913FB53" w14:textId="77777777" w:rsidR="00AA27CC" w:rsidRPr="009C17BC" w:rsidRDefault="00AA27CC" w:rsidP="003336E1">
      <w:pPr>
        <w:spacing w:after="0" w:line="240" w:lineRule="auto"/>
        <w:jc w:val="both"/>
        <w:rPr>
          <w:rFonts w:cstheme="minorHAnsi"/>
          <w:u w:val="single"/>
        </w:rPr>
      </w:pPr>
    </w:p>
    <w:p w14:paraId="0E9D9DC9" w14:textId="77777777" w:rsidR="00AA27CC" w:rsidRPr="009C17BC" w:rsidRDefault="00AA27CC" w:rsidP="003336E1">
      <w:pPr>
        <w:spacing w:after="0" w:line="240" w:lineRule="auto"/>
        <w:jc w:val="both"/>
        <w:rPr>
          <w:rFonts w:cstheme="minorHAnsi"/>
        </w:rPr>
      </w:pPr>
      <w:r w:rsidRPr="009C17BC">
        <w:rPr>
          <w:rFonts w:cstheme="minorHAnsi"/>
        </w:rPr>
        <w:t xml:space="preserve">A Bank külön jutalékszabályzattal rendelkezik – Duna Kavics egyéni érdekeltségi ösztönző rendszer ügyvezetői utasítás, mely elválaszthatatlan része a Javadalmazási Politikának (4. sz. melléklet). </w:t>
      </w:r>
    </w:p>
    <w:p w14:paraId="4FBADA98" w14:textId="77777777" w:rsidR="00AA27CC" w:rsidRPr="009C17BC" w:rsidRDefault="00AA27CC" w:rsidP="003336E1">
      <w:pPr>
        <w:spacing w:after="0" w:line="240" w:lineRule="auto"/>
        <w:jc w:val="both"/>
        <w:rPr>
          <w:rFonts w:cstheme="minorHAnsi"/>
        </w:rPr>
      </w:pPr>
    </w:p>
    <w:p w14:paraId="4E60EA5C" w14:textId="77777777" w:rsidR="00AA27CC" w:rsidRPr="009C17BC" w:rsidRDefault="00AA27CC" w:rsidP="003336E1">
      <w:pPr>
        <w:spacing w:after="0" w:line="240" w:lineRule="auto"/>
        <w:jc w:val="both"/>
        <w:rPr>
          <w:rFonts w:cstheme="minorHAnsi"/>
        </w:rPr>
      </w:pPr>
      <w:r w:rsidRPr="009C17BC">
        <w:rPr>
          <w:rFonts w:cstheme="minorHAnsi"/>
        </w:rPr>
        <w:t>Nem kerül sor a teljesítményjavadalmazás kifizetésekor az instrumentumokban történő kifizetésre vonatkozó követelmény alkalmazására, amíg a Bank megfelel az alábbi feltételnek:</w:t>
      </w:r>
    </w:p>
    <w:p w14:paraId="770BAFE6" w14:textId="77777777" w:rsidR="00AA27CC" w:rsidRPr="009C17BC" w:rsidRDefault="00AA27CC" w:rsidP="003336E1">
      <w:pPr>
        <w:spacing w:after="0" w:line="240" w:lineRule="auto"/>
        <w:jc w:val="both"/>
        <w:rPr>
          <w:rFonts w:cstheme="minorHAnsi"/>
        </w:rPr>
      </w:pPr>
      <w:r w:rsidRPr="009C17BC">
        <w:rPr>
          <w:rFonts w:cstheme="minorHAnsi"/>
        </w:rPr>
        <w:lastRenderedPageBreak/>
        <w:t xml:space="preserve"> A Bank nem minősül az </w:t>
      </w:r>
      <w:hyperlink r:id="rId10" w:tgtFrame="_blank" w:history="1">
        <w:r w:rsidRPr="009C17BC">
          <w:rPr>
            <w:rStyle w:val="Hiperhivatkozs"/>
            <w:rFonts w:cstheme="minorHAnsi"/>
            <w:color w:val="auto"/>
            <w:u w:val="none"/>
          </w:rPr>
          <w:t>575/2013/EU rendelet 4. cikk (1) bekezdés 146. pontjában</w:t>
        </w:r>
      </w:hyperlink>
      <w:r w:rsidRPr="009C17BC">
        <w:rPr>
          <w:rFonts w:cstheme="minorHAnsi"/>
        </w:rPr>
        <w:t xml:space="preserve"> meghatározott nagy méretű hitelintézetnek, és az egyedi alapon számított, előző négy év végi mérlegfőösszegének átlaga nem haladja meg az ezerötszáz-milliárd forintot.</w:t>
      </w:r>
    </w:p>
    <w:p w14:paraId="1667FAA6" w14:textId="77777777" w:rsidR="00AA27CC" w:rsidRPr="009C17BC" w:rsidRDefault="00AA27CC" w:rsidP="003336E1">
      <w:pPr>
        <w:spacing w:after="0" w:line="240" w:lineRule="auto"/>
        <w:jc w:val="both"/>
        <w:rPr>
          <w:rStyle w:val="markedcontent"/>
          <w:rFonts w:cstheme="minorHAnsi"/>
        </w:rPr>
      </w:pPr>
      <w:r w:rsidRPr="009C17BC">
        <w:rPr>
          <w:rStyle w:val="markedcontent"/>
          <w:rFonts w:cstheme="minorHAnsi"/>
        </w:rPr>
        <w:t>A folyó pénzügyi évet közvetlenül megelőző négyéves időszak átlagos eszközértékének a kiszámításakor a négy megelőző pénzügyi év végén kimutatott ezen értékek egyszerű átlagát kell kiszámítania.</w:t>
      </w:r>
    </w:p>
    <w:p w14:paraId="2E0781F4" w14:textId="77777777" w:rsidR="00AA27CC" w:rsidRPr="009C17BC" w:rsidRDefault="00AA27CC" w:rsidP="003336E1">
      <w:pPr>
        <w:spacing w:after="0" w:line="240" w:lineRule="auto"/>
        <w:jc w:val="both"/>
        <w:rPr>
          <w:rStyle w:val="markedcontent"/>
          <w:rFonts w:cstheme="minorHAnsi"/>
        </w:rPr>
      </w:pPr>
    </w:p>
    <w:p w14:paraId="71114AB3" w14:textId="77777777" w:rsidR="00AA27CC" w:rsidRPr="009C17BC" w:rsidRDefault="00AA27CC" w:rsidP="003336E1">
      <w:pPr>
        <w:spacing w:after="0" w:line="240" w:lineRule="auto"/>
        <w:jc w:val="both"/>
        <w:rPr>
          <w:rStyle w:val="markedcontent"/>
          <w:rFonts w:cstheme="minorHAnsi"/>
        </w:rPr>
      </w:pPr>
    </w:p>
    <w:p w14:paraId="3F6BA5CB" w14:textId="77777777" w:rsidR="00AA27CC" w:rsidRPr="009C17BC" w:rsidRDefault="00AA27CC" w:rsidP="003336E1">
      <w:pPr>
        <w:spacing w:after="0" w:line="240" w:lineRule="auto"/>
        <w:jc w:val="both"/>
        <w:rPr>
          <w:rStyle w:val="markedcontent"/>
          <w:rFonts w:cstheme="minorHAnsi"/>
          <w:u w:val="single"/>
        </w:rPr>
      </w:pPr>
      <w:r w:rsidRPr="009C17BC">
        <w:rPr>
          <w:rStyle w:val="markedcontent"/>
          <w:rFonts w:cstheme="minorHAnsi"/>
          <w:u w:val="single"/>
        </w:rPr>
        <w:t>Megtartási bónusz</w:t>
      </w:r>
    </w:p>
    <w:p w14:paraId="1FC444D3" w14:textId="77777777" w:rsidR="00AA27CC" w:rsidRPr="009C17BC" w:rsidRDefault="00AA27CC" w:rsidP="003336E1">
      <w:pPr>
        <w:spacing w:after="0" w:line="240" w:lineRule="auto"/>
        <w:jc w:val="both"/>
        <w:rPr>
          <w:rStyle w:val="markedcontent"/>
          <w:rFonts w:cstheme="minorHAnsi"/>
        </w:rPr>
      </w:pPr>
      <w:r w:rsidRPr="009C17BC">
        <w:rPr>
          <w:rStyle w:val="markedcontent"/>
          <w:rFonts w:cstheme="minorHAnsi"/>
        </w:rPr>
        <w:t xml:space="preserve"> MNB ajánlásnak és jogszabályi előírásoknak megfelelően adható.</w:t>
      </w:r>
    </w:p>
    <w:p w14:paraId="235CBDE0" w14:textId="77777777" w:rsidR="00AA27CC" w:rsidRPr="009C17BC" w:rsidRDefault="00AA27CC" w:rsidP="003336E1">
      <w:pPr>
        <w:spacing w:after="0" w:line="240" w:lineRule="auto"/>
        <w:jc w:val="both"/>
        <w:rPr>
          <w:rStyle w:val="markedcontent"/>
          <w:rFonts w:cstheme="minorHAnsi"/>
        </w:rPr>
      </w:pPr>
    </w:p>
    <w:p w14:paraId="37ED030E" w14:textId="77777777" w:rsidR="00AA27CC" w:rsidRPr="009C17BC" w:rsidRDefault="00AA27CC" w:rsidP="003336E1">
      <w:pPr>
        <w:spacing w:after="0" w:line="240" w:lineRule="auto"/>
        <w:jc w:val="both"/>
        <w:rPr>
          <w:rStyle w:val="markedcontent"/>
          <w:rFonts w:cstheme="minorHAnsi"/>
          <w:u w:val="single"/>
        </w:rPr>
      </w:pPr>
    </w:p>
    <w:p w14:paraId="1A9B1145" w14:textId="77777777" w:rsidR="00AA27CC" w:rsidRPr="009C17BC" w:rsidRDefault="00AA27CC" w:rsidP="003336E1">
      <w:pPr>
        <w:spacing w:after="0" w:line="240" w:lineRule="auto"/>
        <w:jc w:val="both"/>
        <w:rPr>
          <w:rStyle w:val="markedcontent"/>
          <w:rFonts w:cstheme="minorHAnsi"/>
          <w:u w:val="single"/>
        </w:rPr>
      </w:pPr>
      <w:r w:rsidRPr="009C17BC">
        <w:rPr>
          <w:rStyle w:val="markedcontent"/>
          <w:rFonts w:cstheme="minorHAnsi"/>
          <w:u w:val="single"/>
        </w:rPr>
        <w:t xml:space="preserve">Végkielégítés </w:t>
      </w:r>
    </w:p>
    <w:p w14:paraId="49F24E18" w14:textId="77777777" w:rsidR="00AA27CC" w:rsidRPr="009C17BC" w:rsidRDefault="00AA27CC" w:rsidP="003336E1">
      <w:pPr>
        <w:spacing w:after="0" w:line="240" w:lineRule="auto"/>
        <w:jc w:val="both"/>
        <w:rPr>
          <w:rStyle w:val="markedcontent"/>
          <w:rFonts w:cstheme="minorHAnsi"/>
        </w:rPr>
      </w:pPr>
      <w:r w:rsidRPr="009C17BC">
        <w:rPr>
          <w:rStyle w:val="markedcontent"/>
          <w:rFonts w:cstheme="minorHAnsi"/>
        </w:rPr>
        <w:t>MNB ajánlásnak és jogszabályi előírásoknak megfelelően adható.</w:t>
      </w:r>
    </w:p>
    <w:p w14:paraId="6FAADA3D" w14:textId="77777777" w:rsidR="00AA27CC" w:rsidRPr="009C17BC" w:rsidRDefault="00AA27CC" w:rsidP="003336E1">
      <w:pPr>
        <w:spacing w:after="0" w:line="240" w:lineRule="auto"/>
        <w:jc w:val="both"/>
        <w:rPr>
          <w:rStyle w:val="markedcontent"/>
          <w:rFonts w:cstheme="minorHAnsi"/>
          <w:u w:val="single"/>
        </w:rPr>
      </w:pPr>
    </w:p>
    <w:p w14:paraId="0883491B" w14:textId="77777777" w:rsidR="00AA27CC" w:rsidRPr="009C17BC" w:rsidRDefault="00AA27CC" w:rsidP="003336E1">
      <w:pPr>
        <w:spacing w:after="0" w:line="240" w:lineRule="auto"/>
        <w:jc w:val="both"/>
        <w:rPr>
          <w:rStyle w:val="markedcontent"/>
          <w:rFonts w:cstheme="minorHAnsi"/>
          <w:u w:val="single"/>
        </w:rPr>
      </w:pPr>
    </w:p>
    <w:p w14:paraId="2F983680" w14:textId="77777777" w:rsidR="00AA27CC" w:rsidRPr="009C17BC" w:rsidRDefault="00AA27CC" w:rsidP="003336E1">
      <w:pPr>
        <w:spacing w:after="0" w:line="240" w:lineRule="auto"/>
        <w:jc w:val="both"/>
        <w:rPr>
          <w:rStyle w:val="markedcontent"/>
          <w:rFonts w:cstheme="minorHAnsi"/>
          <w:u w:val="single"/>
        </w:rPr>
      </w:pPr>
      <w:r w:rsidRPr="009C17BC">
        <w:rPr>
          <w:rStyle w:val="markedcontent"/>
          <w:rFonts w:cstheme="minorHAnsi"/>
          <w:u w:val="single"/>
        </w:rPr>
        <w:t xml:space="preserve">Szerződés megszűnése után teljesített egyéb kifizetése </w:t>
      </w:r>
    </w:p>
    <w:p w14:paraId="7D6F8DFC" w14:textId="77777777" w:rsidR="00AA27CC" w:rsidRPr="009C17BC" w:rsidRDefault="00AA27CC" w:rsidP="003336E1">
      <w:pPr>
        <w:spacing w:after="0" w:line="240" w:lineRule="auto"/>
        <w:jc w:val="both"/>
        <w:rPr>
          <w:rStyle w:val="markedcontent"/>
          <w:rFonts w:cstheme="minorHAnsi"/>
        </w:rPr>
      </w:pPr>
      <w:r w:rsidRPr="009C17BC">
        <w:rPr>
          <w:rStyle w:val="markedcontent"/>
          <w:rFonts w:cstheme="minorHAnsi"/>
        </w:rPr>
        <w:t>MNB ajánlásnak és jogszabályi előírásoknak megfelelően adható.</w:t>
      </w:r>
    </w:p>
    <w:p w14:paraId="3BA6F34F" w14:textId="77777777" w:rsidR="00AA27CC" w:rsidRPr="009C17BC" w:rsidRDefault="00AA27CC" w:rsidP="003336E1">
      <w:pPr>
        <w:spacing w:after="0" w:line="240" w:lineRule="auto"/>
        <w:jc w:val="both"/>
        <w:rPr>
          <w:rStyle w:val="markedcontent"/>
          <w:rFonts w:cstheme="minorHAnsi"/>
          <w:u w:val="single"/>
        </w:rPr>
      </w:pPr>
    </w:p>
    <w:p w14:paraId="0ED0F3CC" w14:textId="77777777" w:rsidR="00AA27CC" w:rsidRPr="009C17BC" w:rsidRDefault="00AA27CC" w:rsidP="003336E1">
      <w:pPr>
        <w:spacing w:after="0" w:line="240" w:lineRule="auto"/>
        <w:jc w:val="both"/>
        <w:rPr>
          <w:rStyle w:val="markedcontent"/>
          <w:rFonts w:cstheme="minorHAnsi"/>
        </w:rPr>
      </w:pPr>
    </w:p>
    <w:p w14:paraId="01258146" w14:textId="77777777" w:rsidR="00AA27CC" w:rsidRPr="009C17BC" w:rsidRDefault="00AA27CC" w:rsidP="003336E1">
      <w:pPr>
        <w:pStyle w:val="Listaszerbekezds"/>
        <w:ind w:left="0"/>
        <w:jc w:val="both"/>
        <w:rPr>
          <w:rFonts w:cstheme="minorHAnsi"/>
          <w:b/>
        </w:rPr>
      </w:pPr>
      <w:r w:rsidRPr="009C17BC">
        <w:rPr>
          <w:rFonts w:cstheme="minorHAnsi"/>
          <w:b/>
        </w:rPr>
        <w:t>Az alapjavadalmazás és a teljesítményjavadalmazás aránya</w:t>
      </w:r>
    </w:p>
    <w:p w14:paraId="16DD1BB2" w14:textId="77777777" w:rsidR="00AA27CC" w:rsidRPr="009C17BC" w:rsidRDefault="00AA27CC" w:rsidP="003336E1">
      <w:pPr>
        <w:pStyle w:val="Listaszerbekezds"/>
        <w:jc w:val="both"/>
        <w:rPr>
          <w:rFonts w:cstheme="minorHAnsi"/>
        </w:rPr>
      </w:pPr>
    </w:p>
    <w:p w14:paraId="3B7C3729" w14:textId="77777777" w:rsidR="00AA27CC" w:rsidRPr="009C17BC" w:rsidRDefault="00AA27CC" w:rsidP="003336E1">
      <w:pPr>
        <w:pStyle w:val="Listaszerbekezds"/>
        <w:ind w:left="0"/>
        <w:jc w:val="both"/>
        <w:rPr>
          <w:rFonts w:cstheme="minorHAnsi"/>
        </w:rPr>
      </w:pPr>
      <w:r w:rsidRPr="009C17BC">
        <w:rPr>
          <w:rFonts w:cstheme="minorHAnsi"/>
        </w:rPr>
        <w:t>A teljesítményjavadalmazás aránya a Javadalmazási Politika hatálya alá tartozó egyetlen személy esetén sem haladhatja meg az alapjavadalmazás 100%-át.</w:t>
      </w:r>
    </w:p>
    <w:p w14:paraId="275CE76A" w14:textId="77777777" w:rsidR="00AA27CC" w:rsidRPr="009C17BC" w:rsidRDefault="00AA27CC" w:rsidP="003336E1">
      <w:pPr>
        <w:pStyle w:val="Listaszerbekezds"/>
        <w:ind w:left="0"/>
        <w:jc w:val="both"/>
        <w:rPr>
          <w:rFonts w:cstheme="minorHAnsi"/>
        </w:rPr>
      </w:pPr>
    </w:p>
    <w:p w14:paraId="7E3A1110" w14:textId="2024D687" w:rsidR="00B51692" w:rsidRPr="009C17BC" w:rsidRDefault="00AA27CC" w:rsidP="003336E1">
      <w:pPr>
        <w:pStyle w:val="Listaszerbekezds"/>
        <w:ind w:left="0"/>
        <w:jc w:val="both"/>
        <w:rPr>
          <w:rFonts w:cstheme="minorHAnsi"/>
        </w:rPr>
      </w:pPr>
      <w:r w:rsidRPr="009C17BC">
        <w:rPr>
          <w:rFonts w:cstheme="minorHAnsi"/>
        </w:rPr>
        <w:t>Az egyes szerepkörökhöz kapcsolódó teljesítményjavadalmazás maximális aránya:</w:t>
      </w:r>
    </w:p>
    <w:p w14:paraId="0F39BB28" w14:textId="77777777" w:rsidR="00AA27CC" w:rsidRPr="009C17BC" w:rsidRDefault="00AA27CC" w:rsidP="003336E1">
      <w:pPr>
        <w:pStyle w:val="Listaszerbekezds"/>
        <w:ind w:left="0"/>
        <w:jc w:val="both"/>
        <w:rPr>
          <w:rFonts w:cstheme="minorHAnsi"/>
        </w:rPr>
      </w:pPr>
    </w:p>
    <w:p w14:paraId="34CD97A4" w14:textId="77777777" w:rsidR="00AA27CC" w:rsidRPr="009C17BC" w:rsidRDefault="00AA27CC" w:rsidP="003336E1">
      <w:pPr>
        <w:pStyle w:val="Listaszerbekezds"/>
        <w:jc w:val="both"/>
        <w:rPr>
          <w:rFonts w:cstheme="minorHAnsi"/>
        </w:rPr>
      </w:pPr>
    </w:p>
    <w:tbl>
      <w:tblPr>
        <w:tblStyle w:val="Rcsostblzat"/>
        <w:tblW w:w="0" w:type="auto"/>
        <w:jc w:val="center"/>
        <w:tblLook w:val="04A0" w:firstRow="1" w:lastRow="0" w:firstColumn="1" w:lastColumn="0" w:noHBand="0" w:noVBand="1"/>
      </w:tblPr>
      <w:tblGrid>
        <w:gridCol w:w="4961"/>
        <w:gridCol w:w="1418"/>
      </w:tblGrid>
      <w:tr w:rsidR="00AA27CC" w:rsidRPr="009C17BC" w14:paraId="345DC74B" w14:textId="77777777" w:rsidTr="00CE0965">
        <w:trPr>
          <w:trHeight w:val="366"/>
          <w:jc w:val="center"/>
        </w:trPr>
        <w:tc>
          <w:tcPr>
            <w:tcW w:w="4961" w:type="dxa"/>
            <w:shd w:val="clear" w:color="auto" w:fill="BFBFBF" w:themeFill="background1" w:themeFillShade="BF"/>
          </w:tcPr>
          <w:p w14:paraId="4E3F4B90" w14:textId="77777777" w:rsidR="00AA27CC" w:rsidRPr="009C17BC" w:rsidRDefault="00AA27CC" w:rsidP="003336E1">
            <w:pPr>
              <w:pStyle w:val="Listaszerbekezds"/>
              <w:ind w:left="0"/>
              <w:jc w:val="both"/>
              <w:rPr>
                <w:rFonts w:cstheme="minorHAnsi"/>
                <w:b/>
              </w:rPr>
            </w:pPr>
            <w:r w:rsidRPr="009C17BC">
              <w:rPr>
                <w:rFonts w:cstheme="minorHAnsi"/>
                <w:b/>
              </w:rPr>
              <w:t>Kategória</w:t>
            </w:r>
          </w:p>
        </w:tc>
        <w:tc>
          <w:tcPr>
            <w:tcW w:w="1418" w:type="dxa"/>
            <w:shd w:val="clear" w:color="auto" w:fill="BFBFBF" w:themeFill="background1" w:themeFillShade="BF"/>
          </w:tcPr>
          <w:p w14:paraId="6D42BD1C" w14:textId="77777777" w:rsidR="00AA27CC" w:rsidRPr="009C17BC" w:rsidRDefault="00AA27CC" w:rsidP="003336E1">
            <w:pPr>
              <w:pStyle w:val="Listaszerbekezds"/>
              <w:ind w:left="0"/>
              <w:jc w:val="both"/>
              <w:rPr>
                <w:rFonts w:cstheme="minorHAnsi"/>
                <w:b/>
              </w:rPr>
            </w:pPr>
            <w:r w:rsidRPr="009C17BC">
              <w:rPr>
                <w:rFonts w:cstheme="minorHAnsi"/>
                <w:b/>
              </w:rPr>
              <w:t>Arány</w:t>
            </w:r>
          </w:p>
        </w:tc>
      </w:tr>
      <w:tr w:rsidR="00AA27CC" w:rsidRPr="009C17BC" w14:paraId="79E7F805" w14:textId="77777777" w:rsidTr="00CE0965">
        <w:trPr>
          <w:jc w:val="center"/>
        </w:trPr>
        <w:tc>
          <w:tcPr>
            <w:tcW w:w="4961" w:type="dxa"/>
          </w:tcPr>
          <w:p w14:paraId="0CB36649" w14:textId="77777777" w:rsidR="00AA27CC" w:rsidRPr="009C17BC" w:rsidRDefault="00AA27CC" w:rsidP="003336E1">
            <w:pPr>
              <w:pStyle w:val="Listaszerbekezds"/>
              <w:numPr>
                <w:ilvl w:val="0"/>
                <w:numId w:val="33"/>
              </w:numPr>
              <w:jc w:val="both"/>
              <w:rPr>
                <w:rFonts w:cstheme="minorHAnsi"/>
              </w:rPr>
            </w:pPr>
            <w:r w:rsidRPr="009C17BC">
              <w:rPr>
                <w:rFonts w:cstheme="minorHAnsi"/>
              </w:rPr>
              <w:t xml:space="preserve">Vezető állású és vezető beosztású munkavállalók, </w:t>
            </w:r>
            <w:r w:rsidRPr="009C17BC">
              <w:rPr>
                <w:rFonts w:cstheme="minorHAnsi"/>
                <w:highlight w:val="yellow"/>
              </w:rPr>
              <w:t>azonosított személyek</w:t>
            </w:r>
          </w:p>
        </w:tc>
        <w:tc>
          <w:tcPr>
            <w:tcW w:w="1418" w:type="dxa"/>
          </w:tcPr>
          <w:p w14:paraId="5967B06C" w14:textId="77777777" w:rsidR="00AA27CC" w:rsidRPr="009C17BC" w:rsidRDefault="00AA27CC" w:rsidP="003336E1">
            <w:pPr>
              <w:pStyle w:val="Listaszerbekezds"/>
              <w:ind w:left="0"/>
              <w:jc w:val="both"/>
              <w:rPr>
                <w:rFonts w:cstheme="minorHAnsi"/>
              </w:rPr>
            </w:pPr>
            <w:r w:rsidRPr="009C17BC">
              <w:rPr>
                <w:rFonts w:cstheme="minorHAnsi"/>
              </w:rPr>
              <w:t>12/12-ed</w:t>
            </w:r>
          </w:p>
        </w:tc>
      </w:tr>
      <w:tr w:rsidR="00AA27CC" w:rsidRPr="009C17BC" w14:paraId="72C88E21" w14:textId="77777777" w:rsidTr="00CE0965">
        <w:trPr>
          <w:jc w:val="center"/>
        </w:trPr>
        <w:tc>
          <w:tcPr>
            <w:tcW w:w="4961" w:type="dxa"/>
          </w:tcPr>
          <w:p w14:paraId="5322E162" w14:textId="77777777" w:rsidR="00AA27CC" w:rsidRPr="009C17BC" w:rsidRDefault="00AA27CC" w:rsidP="003336E1">
            <w:pPr>
              <w:pStyle w:val="Listaszerbekezds"/>
              <w:numPr>
                <w:ilvl w:val="0"/>
                <w:numId w:val="33"/>
              </w:numPr>
              <w:jc w:val="both"/>
              <w:rPr>
                <w:rFonts w:cstheme="minorHAnsi"/>
              </w:rPr>
            </w:pPr>
            <w:r w:rsidRPr="009C17BC">
              <w:rPr>
                <w:rFonts w:cstheme="minorHAnsi"/>
              </w:rPr>
              <w:t>Értékesítést végző beosztott munkavállalók (Duna kavics rendszer hatálya alá tartozó munkavállalók)</w:t>
            </w:r>
          </w:p>
        </w:tc>
        <w:tc>
          <w:tcPr>
            <w:tcW w:w="1418" w:type="dxa"/>
          </w:tcPr>
          <w:p w14:paraId="7C2D5952" w14:textId="77777777" w:rsidR="00AA27CC" w:rsidRPr="009C17BC" w:rsidRDefault="00AA27CC" w:rsidP="003336E1">
            <w:pPr>
              <w:pStyle w:val="Listaszerbekezds"/>
              <w:ind w:left="0"/>
              <w:jc w:val="both"/>
              <w:rPr>
                <w:rFonts w:cstheme="minorHAnsi"/>
              </w:rPr>
            </w:pPr>
            <w:r w:rsidRPr="009C17BC">
              <w:rPr>
                <w:rFonts w:cstheme="minorHAnsi"/>
              </w:rPr>
              <w:t>12/12-ed</w:t>
            </w:r>
          </w:p>
        </w:tc>
      </w:tr>
      <w:tr w:rsidR="00AA27CC" w:rsidRPr="009C17BC" w14:paraId="3A25FC97" w14:textId="77777777" w:rsidTr="00CE0965">
        <w:trPr>
          <w:jc w:val="center"/>
        </w:trPr>
        <w:tc>
          <w:tcPr>
            <w:tcW w:w="4961" w:type="dxa"/>
          </w:tcPr>
          <w:p w14:paraId="13018532" w14:textId="77777777" w:rsidR="00AA27CC" w:rsidRPr="009C17BC" w:rsidRDefault="00AA27CC" w:rsidP="003336E1">
            <w:pPr>
              <w:pStyle w:val="Listaszerbekezds"/>
              <w:numPr>
                <w:ilvl w:val="0"/>
                <w:numId w:val="33"/>
              </w:numPr>
              <w:jc w:val="both"/>
              <w:rPr>
                <w:rFonts w:cstheme="minorHAnsi"/>
              </w:rPr>
            </w:pPr>
            <w:r w:rsidRPr="009C17BC">
              <w:rPr>
                <w:rFonts w:cstheme="minorHAnsi"/>
              </w:rPr>
              <w:t xml:space="preserve">Értékesítést </w:t>
            </w:r>
            <w:r w:rsidRPr="009C17BC">
              <w:rPr>
                <w:rFonts w:cstheme="minorHAnsi"/>
                <w:u w:val="single"/>
              </w:rPr>
              <w:t>nem</w:t>
            </w:r>
            <w:r w:rsidRPr="009C17BC">
              <w:rPr>
                <w:rFonts w:cstheme="minorHAnsi"/>
              </w:rPr>
              <w:t xml:space="preserve"> végző beosztott munkavállalók</w:t>
            </w:r>
          </w:p>
        </w:tc>
        <w:tc>
          <w:tcPr>
            <w:tcW w:w="1418" w:type="dxa"/>
          </w:tcPr>
          <w:p w14:paraId="3C5F96B9" w14:textId="77777777" w:rsidR="00AA27CC" w:rsidRPr="009C17BC" w:rsidRDefault="00AA27CC" w:rsidP="003336E1">
            <w:pPr>
              <w:pStyle w:val="Listaszerbekezds"/>
              <w:ind w:left="0"/>
              <w:jc w:val="both"/>
              <w:rPr>
                <w:rFonts w:cstheme="minorHAnsi"/>
              </w:rPr>
            </w:pPr>
            <w:r w:rsidRPr="009C17BC">
              <w:rPr>
                <w:rFonts w:cstheme="minorHAnsi"/>
              </w:rPr>
              <w:t>12/12-ed</w:t>
            </w:r>
          </w:p>
        </w:tc>
      </w:tr>
    </w:tbl>
    <w:p w14:paraId="5E580E56" w14:textId="77777777" w:rsidR="00AA27CC" w:rsidRPr="009C17BC" w:rsidRDefault="00AA27CC" w:rsidP="003336E1">
      <w:pPr>
        <w:jc w:val="both"/>
        <w:rPr>
          <w:rFonts w:cstheme="minorHAnsi"/>
        </w:rPr>
      </w:pPr>
    </w:p>
    <w:p w14:paraId="732ADF24" w14:textId="7C6FAE56" w:rsidR="00AA27CC" w:rsidRPr="009C17BC" w:rsidRDefault="00AA27CC" w:rsidP="003336E1">
      <w:pPr>
        <w:pStyle w:val="Listaszerbekezds"/>
        <w:numPr>
          <w:ilvl w:val="2"/>
          <w:numId w:val="13"/>
        </w:numPr>
        <w:spacing w:after="240"/>
        <w:jc w:val="both"/>
        <w:outlineLvl w:val="0"/>
        <w:rPr>
          <w:rFonts w:cstheme="minorHAnsi"/>
          <w:b/>
        </w:rPr>
      </w:pPr>
      <w:bookmarkStart w:id="98" w:name="_Toc147237479"/>
      <w:r w:rsidRPr="009C17BC">
        <w:rPr>
          <w:rFonts w:cstheme="minorHAnsi"/>
          <w:b/>
        </w:rPr>
        <w:t>Teljesítményértékelési és célkitűzési rendszer</w:t>
      </w:r>
      <w:bookmarkEnd w:id="98"/>
    </w:p>
    <w:p w14:paraId="4EBF697B" w14:textId="77777777" w:rsidR="00AA27CC" w:rsidRPr="009C17BC" w:rsidRDefault="00AA27CC" w:rsidP="003336E1">
      <w:pPr>
        <w:pStyle w:val="Listaszerbekezds"/>
        <w:spacing w:after="240"/>
        <w:ind w:left="360"/>
        <w:jc w:val="both"/>
        <w:outlineLvl w:val="0"/>
        <w:rPr>
          <w:rFonts w:cstheme="minorHAnsi"/>
          <w:b/>
        </w:rPr>
      </w:pPr>
    </w:p>
    <w:p w14:paraId="203E61D6" w14:textId="77777777" w:rsidR="00AA27CC" w:rsidRPr="009C17BC" w:rsidRDefault="00AA27CC" w:rsidP="003336E1">
      <w:pPr>
        <w:spacing w:after="240"/>
        <w:jc w:val="both"/>
        <w:outlineLvl w:val="0"/>
        <w:rPr>
          <w:rFonts w:cstheme="minorHAnsi"/>
        </w:rPr>
      </w:pPr>
      <w:bookmarkStart w:id="99" w:name="_Toc144110649"/>
      <w:bookmarkStart w:id="100" w:name="_Toc147237480"/>
      <w:r w:rsidRPr="009C17BC">
        <w:rPr>
          <w:rFonts w:cstheme="minorHAnsi"/>
          <w:b/>
        </w:rPr>
        <w:t>Bónuszkeret meghatározása</w:t>
      </w:r>
      <w:bookmarkEnd w:id="99"/>
      <w:bookmarkEnd w:id="100"/>
      <w:r w:rsidRPr="009C17BC">
        <w:rPr>
          <w:rFonts w:cstheme="minorHAnsi"/>
          <w:b/>
        </w:rPr>
        <w:t xml:space="preserve">  </w:t>
      </w:r>
    </w:p>
    <w:p w14:paraId="143C1388" w14:textId="7A73AD2E" w:rsidR="00AA27CC" w:rsidRPr="009C17BC" w:rsidRDefault="00AA27CC" w:rsidP="003336E1">
      <w:pPr>
        <w:pStyle w:val="Listaszerbekezds"/>
        <w:spacing w:after="240"/>
        <w:ind w:left="360"/>
        <w:jc w:val="both"/>
        <w:outlineLvl w:val="0"/>
        <w:rPr>
          <w:rFonts w:cstheme="minorHAnsi"/>
        </w:rPr>
      </w:pPr>
      <w:bookmarkStart w:id="101" w:name="_Toc144110650"/>
      <w:bookmarkStart w:id="102" w:name="_Toc147237481"/>
      <w:r w:rsidRPr="009C17BC">
        <w:rPr>
          <w:rFonts w:cstheme="minorHAnsi"/>
        </w:rPr>
        <w:t xml:space="preserve">A Bank bónuszkeretként a </w:t>
      </w:r>
      <w:r w:rsidRPr="009C17BC">
        <w:rPr>
          <w:rFonts w:cstheme="minorHAnsi"/>
          <w:highlight w:val="yellow"/>
        </w:rPr>
        <w:t>Bank teljesítménye al</w:t>
      </w:r>
      <w:r w:rsidR="00D95FB5" w:rsidRPr="009C17BC">
        <w:rPr>
          <w:rFonts w:cstheme="minorHAnsi"/>
          <w:highlight w:val="yellow"/>
        </w:rPr>
        <w:t>a</w:t>
      </w:r>
      <w:r w:rsidRPr="009C17BC">
        <w:rPr>
          <w:rFonts w:cstheme="minorHAnsi"/>
          <w:highlight w:val="yellow"/>
        </w:rPr>
        <w:t>pján ösztönzött</w:t>
      </w:r>
      <w:r w:rsidRPr="009C17BC">
        <w:rPr>
          <w:rFonts w:cstheme="minorHAnsi"/>
        </w:rPr>
        <w:t xml:space="preserve"> munkavállalóinak 2 havi bruttó alapbérének összegét</w:t>
      </w:r>
      <w:r w:rsidRPr="009C17BC">
        <w:rPr>
          <w:rFonts w:cstheme="minorHAnsi"/>
          <w:highlight w:val="yellow"/>
        </w:rPr>
        <w:t>, az egyéni teljesítmény alapján ösztönzött munkavállalóinak 3 havi bruttó alapbérének összegét alulról felfelé irányuló megközelítéssel</w:t>
      </w:r>
      <w:r w:rsidRPr="009C17BC">
        <w:rPr>
          <w:rFonts w:cstheme="minorHAnsi"/>
        </w:rPr>
        <w:t xml:space="preserve">, az üzleti tervben jóváhagyott jutalékrendszer keretösszegét </w:t>
      </w:r>
      <w:r w:rsidRPr="009C17BC">
        <w:rPr>
          <w:rFonts w:cstheme="minorHAnsi"/>
          <w:highlight w:val="yellow"/>
        </w:rPr>
        <w:t xml:space="preserve">pedig </w:t>
      </w:r>
      <w:proofErr w:type="spellStart"/>
      <w:r w:rsidRPr="009C17BC">
        <w:rPr>
          <w:rFonts w:cstheme="minorHAnsi"/>
          <w:highlight w:val="yellow"/>
        </w:rPr>
        <w:t>felülről</w:t>
      </w:r>
      <w:proofErr w:type="spellEnd"/>
      <w:r w:rsidRPr="009C17BC">
        <w:rPr>
          <w:rFonts w:cstheme="minorHAnsi"/>
          <w:highlight w:val="yellow"/>
        </w:rPr>
        <w:t xml:space="preserve"> lefelé haladó megközelítéssel</w:t>
      </w:r>
      <w:r w:rsidRPr="009C17BC">
        <w:rPr>
          <w:rFonts w:cstheme="minorHAnsi"/>
        </w:rPr>
        <w:t xml:space="preserve"> határozza meg </w:t>
      </w:r>
      <w:r w:rsidRPr="009C17BC">
        <w:rPr>
          <w:rFonts w:cstheme="minorHAnsi"/>
          <w:highlight w:val="yellow"/>
        </w:rPr>
        <w:t xml:space="preserve">Az alulról felfelé irányuló megközelítés szerinti bónuszkeretbe a központi mozgóbérezési rendszer alapján ösztönzött munkavállalók tartoznak (ide értve az azonosított személyeket és a kontroll funkciót ellátó munkavállalókat), akik ösztönzésének elveit jelen szabályzat 2. számú melléklete részletezi. </w:t>
      </w:r>
      <w:r w:rsidRPr="009C17BC">
        <w:rPr>
          <w:rFonts w:cstheme="minorHAnsi"/>
          <w:highlight w:val="yellow"/>
        </w:rPr>
        <w:lastRenderedPageBreak/>
        <w:t xml:space="preserve">A </w:t>
      </w:r>
      <w:proofErr w:type="spellStart"/>
      <w:r w:rsidRPr="009C17BC">
        <w:rPr>
          <w:rFonts w:cstheme="minorHAnsi"/>
          <w:highlight w:val="yellow"/>
        </w:rPr>
        <w:t>felülről</w:t>
      </w:r>
      <w:proofErr w:type="spellEnd"/>
      <w:r w:rsidRPr="009C17BC">
        <w:rPr>
          <w:rFonts w:cstheme="minorHAnsi"/>
          <w:highlight w:val="yellow"/>
        </w:rPr>
        <w:t xml:space="preserve"> lefelé irányuló megközelítés szerinti bónuszkeretbe a bank hálózati munkatársai tartoznak, akik jelen szabályzat 4. számú melléklete szerinti jutalékrendszer alapján részesülnek teljesítmény javadalmazásban.</w:t>
      </w:r>
      <w:bookmarkEnd w:id="101"/>
      <w:bookmarkEnd w:id="102"/>
    </w:p>
    <w:p w14:paraId="5FC5F224" w14:textId="77777777" w:rsidR="00AA27CC" w:rsidRPr="009C17BC" w:rsidRDefault="00AA27CC" w:rsidP="003336E1">
      <w:pPr>
        <w:pStyle w:val="Listaszerbekezds"/>
        <w:spacing w:after="240"/>
        <w:ind w:left="360"/>
        <w:jc w:val="both"/>
        <w:outlineLvl w:val="0"/>
        <w:rPr>
          <w:rFonts w:cstheme="minorHAnsi"/>
        </w:rPr>
      </w:pPr>
    </w:p>
    <w:p w14:paraId="47E72F96" w14:textId="77777777" w:rsidR="00AA27CC" w:rsidRPr="009C17BC" w:rsidRDefault="00AA27CC" w:rsidP="003336E1">
      <w:pPr>
        <w:pStyle w:val="Listaszerbekezds"/>
        <w:ind w:left="0"/>
        <w:jc w:val="both"/>
        <w:rPr>
          <w:rFonts w:cstheme="minorHAnsi"/>
        </w:rPr>
      </w:pPr>
      <w:r w:rsidRPr="009C17BC">
        <w:rPr>
          <w:rFonts w:cstheme="minorHAnsi"/>
        </w:rPr>
        <w:t>Az ösztönzési rendszer működésének alapja a személyi hatálya alá tartozó munkatársak éves teljesítményének, előre írásban meghatározott célok teljesítésének, felettes által, dokumentáltan elvégzett értékelése.</w:t>
      </w:r>
    </w:p>
    <w:p w14:paraId="0B196589" w14:textId="77777777" w:rsidR="00AA27CC" w:rsidRPr="009C17BC" w:rsidRDefault="00AA27CC" w:rsidP="003336E1">
      <w:pPr>
        <w:pStyle w:val="Listaszerbekezds"/>
        <w:ind w:left="0"/>
        <w:jc w:val="both"/>
        <w:rPr>
          <w:rFonts w:cstheme="minorHAnsi"/>
        </w:rPr>
      </w:pPr>
    </w:p>
    <w:p w14:paraId="6858FCA7" w14:textId="77777777" w:rsidR="00AA27CC" w:rsidRPr="009C17BC" w:rsidRDefault="00AA27CC" w:rsidP="003336E1">
      <w:pPr>
        <w:pStyle w:val="Listaszerbekezds"/>
        <w:ind w:left="0"/>
        <w:jc w:val="both"/>
        <w:rPr>
          <w:rFonts w:cstheme="minorHAnsi"/>
          <w:b/>
          <w:u w:val="single"/>
        </w:rPr>
      </w:pPr>
      <w:r w:rsidRPr="009C17BC">
        <w:rPr>
          <w:rFonts w:cstheme="minorHAnsi"/>
          <w:b/>
          <w:u w:val="single"/>
        </w:rPr>
        <w:t>Célkitűzés</w:t>
      </w:r>
    </w:p>
    <w:p w14:paraId="38E1823D" w14:textId="77777777" w:rsidR="00AA27CC" w:rsidRPr="009C17BC" w:rsidRDefault="00AA27CC" w:rsidP="003336E1">
      <w:pPr>
        <w:pStyle w:val="Listaszerbekezds"/>
        <w:ind w:left="0"/>
        <w:jc w:val="both"/>
        <w:rPr>
          <w:rFonts w:cstheme="minorHAnsi"/>
        </w:rPr>
      </w:pPr>
    </w:p>
    <w:p w14:paraId="3E4E2365" w14:textId="77777777" w:rsidR="00AA27CC" w:rsidRPr="009C17BC" w:rsidRDefault="00AA27CC" w:rsidP="003336E1">
      <w:pPr>
        <w:pStyle w:val="Listaszerbekezds"/>
        <w:ind w:left="0"/>
        <w:jc w:val="both"/>
        <w:rPr>
          <w:rFonts w:cstheme="minorHAnsi"/>
        </w:rPr>
      </w:pPr>
      <w:r w:rsidRPr="009C17BC">
        <w:rPr>
          <w:rFonts w:cstheme="minorHAnsi"/>
        </w:rPr>
        <w:t>A teljesítmény értékelési rendszer célkitűzéseit az első negyed évben kell elkészíteni, jóváhagyni és a munkavállalókkal megismertetni.</w:t>
      </w:r>
    </w:p>
    <w:p w14:paraId="56B0AD3C" w14:textId="77777777" w:rsidR="00AA27CC" w:rsidRPr="009C17BC" w:rsidRDefault="00AA27CC" w:rsidP="003336E1">
      <w:pPr>
        <w:pStyle w:val="Listaszerbekezds"/>
        <w:ind w:left="0"/>
        <w:jc w:val="both"/>
        <w:rPr>
          <w:rFonts w:cstheme="minorHAnsi"/>
        </w:rPr>
      </w:pPr>
    </w:p>
    <w:p w14:paraId="52F2C4F1" w14:textId="77777777" w:rsidR="00AA27CC" w:rsidRPr="009C17BC" w:rsidRDefault="00AA27CC" w:rsidP="003336E1">
      <w:pPr>
        <w:pStyle w:val="Listaszerbekezds"/>
        <w:ind w:left="0"/>
        <w:jc w:val="both"/>
        <w:rPr>
          <w:rFonts w:cstheme="minorHAnsi"/>
        </w:rPr>
      </w:pPr>
      <w:r w:rsidRPr="009C17BC">
        <w:rPr>
          <w:rFonts w:cstheme="minorHAnsi"/>
        </w:rPr>
        <w:t>Az ügyvezetők tekintetében a célkitűzés és az értékelés az Igazgatóság, a rendszer személyi hatálya alá tartozó többi munkatárs tekintetében pedig közvetlen felettes vezetője és az őt felügyelő ügyvezető feladata.</w:t>
      </w:r>
    </w:p>
    <w:p w14:paraId="467A2BD7" w14:textId="77777777" w:rsidR="00AA27CC" w:rsidRPr="009C17BC" w:rsidRDefault="00AA27CC" w:rsidP="003336E1">
      <w:pPr>
        <w:pStyle w:val="Listaszerbekezds"/>
        <w:ind w:left="0"/>
        <w:jc w:val="both"/>
        <w:rPr>
          <w:rFonts w:cstheme="minorHAnsi"/>
        </w:rPr>
      </w:pPr>
    </w:p>
    <w:p w14:paraId="57F0AC39" w14:textId="77777777" w:rsidR="00AA27CC" w:rsidRPr="009C17BC" w:rsidRDefault="00AA27CC" w:rsidP="003336E1">
      <w:pPr>
        <w:pStyle w:val="Listaszerbekezds"/>
        <w:ind w:left="0"/>
        <w:jc w:val="both"/>
        <w:rPr>
          <w:rFonts w:cstheme="minorHAnsi"/>
        </w:rPr>
      </w:pPr>
      <w:r w:rsidRPr="009C17BC">
        <w:rPr>
          <w:rFonts w:cstheme="minorHAnsi"/>
        </w:rPr>
        <w:t xml:space="preserve">Az objektív célkitűzéseket az objektív mutatók alapján kell elkészíteni. A mutatókat február utolsó munkanapjáig a Kontrolling és Tőkemenedzsment szakterület készíti el, melyet a HR Osztály terjeszt az ügyvezetés elé elfogadásra a tárgyév márciusának 10. munkanapjáig. Az ügyvezetés jóváhagyását követően az objektív mutatók mixét az Igazgatóságnak és a Felügyelő Bizottságnak egyaránt el kell fogadnia. Az elfogadtatást úgy kell intézni, hogy az a munkavállalók március végéig történő tájékoztatását lehetővé tegye. </w:t>
      </w:r>
    </w:p>
    <w:p w14:paraId="470BEDBC" w14:textId="77777777" w:rsidR="00AA27CC" w:rsidRPr="009C17BC" w:rsidRDefault="00AA27CC" w:rsidP="003336E1">
      <w:pPr>
        <w:pStyle w:val="Listaszerbekezds"/>
        <w:ind w:left="0"/>
        <w:jc w:val="both"/>
        <w:rPr>
          <w:rFonts w:cstheme="minorHAnsi"/>
        </w:rPr>
      </w:pPr>
    </w:p>
    <w:p w14:paraId="2FAC15C5" w14:textId="77777777" w:rsidR="00AA27CC" w:rsidRPr="009C17BC" w:rsidRDefault="00AA27CC" w:rsidP="003336E1">
      <w:pPr>
        <w:pStyle w:val="Listaszerbekezds"/>
        <w:ind w:left="0"/>
        <w:jc w:val="both"/>
        <w:rPr>
          <w:rFonts w:cstheme="minorHAnsi"/>
        </w:rPr>
      </w:pPr>
      <w:r w:rsidRPr="009C17BC">
        <w:rPr>
          <w:rFonts w:cstheme="minorHAnsi"/>
        </w:rPr>
        <w:t>Az első negyed év végéig (március hó utolsó munkanapjáig) a tárgyévi célkitűzések dolgozókkal történő ismertetése a TÉR lapok megküldésével történik úgy, hogy az értékelő lapok minden érintett számára hozzáférhetőek.</w:t>
      </w:r>
    </w:p>
    <w:p w14:paraId="77CC038D" w14:textId="77777777" w:rsidR="00AA27CC" w:rsidRPr="009C17BC" w:rsidRDefault="00AA27CC" w:rsidP="003336E1">
      <w:pPr>
        <w:pStyle w:val="Listaszerbekezds"/>
        <w:ind w:left="0"/>
        <w:jc w:val="both"/>
        <w:rPr>
          <w:rFonts w:cstheme="minorHAnsi"/>
        </w:rPr>
      </w:pPr>
    </w:p>
    <w:p w14:paraId="68B12205" w14:textId="77777777" w:rsidR="00AA27CC" w:rsidRPr="009C17BC" w:rsidRDefault="00AA27CC" w:rsidP="003336E1">
      <w:pPr>
        <w:pStyle w:val="Listaszerbekezds"/>
        <w:ind w:left="0"/>
        <w:jc w:val="both"/>
        <w:rPr>
          <w:rFonts w:cstheme="minorHAnsi"/>
          <w:b/>
          <w:u w:val="single"/>
        </w:rPr>
      </w:pPr>
      <w:r w:rsidRPr="009C17BC">
        <w:rPr>
          <w:rFonts w:cstheme="minorHAnsi"/>
          <w:b/>
          <w:u w:val="single"/>
        </w:rPr>
        <w:t>Teljesítményértékelés</w:t>
      </w:r>
    </w:p>
    <w:p w14:paraId="6E7305EF" w14:textId="77777777" w:rsidR="00AA27CC" w:rsidRPr="009C17BC" w:rsidRDefault="00AA27CC" w:rsidP="003336E1">
      <w:pPr>
        <w:spacing w:before="100" w:beforeAutospacing="1" w:after="100" w:afterAutospacing="1" w:line="240" w:lineRule="auto"/>
        <w:jc w:val="both"/>
        <w:rPr>
          <w:rFonts w:cstheme="minorHAnsi"/>
        </w:rPr>
      </w:pPr>
      <w:r w:rsidRPr="009C17BC">
        <w:rPr>
          <w:rFonts w:cstheme="minorHAnsi"/>
        </w:rPr>
        <w:t xml:space="preserve">A teljesítményértékelés szubjektív szempontjainak </w:t>
      </w:r>
      <w:proofErr w:type="spellStart"/>
      <w:r w:rsidRPr="009C17BC">
        <w:rPr>
          <w:rFonts w:cstheme="minorHAnsi"/>
        </w:rPr>
        <w:t>egyénenkénti</w:t>
      </w:r>
      <w:proofErr w:type="spellEnd"/>
      <w:r w:rsidRPr="009C17BC">
        <w:rPr>
          <w:rFonts w:cstheme="minorHAnsi"/>
        </w:rPr>
        <w:t xml:space="preserve"> közzététele, a mérleg elfogadó közgyűlést megelőzően kell, hogy megtörténjen tárgyév márciusának utolsó munkanapjáig, személyes elbeszélgetés keretében.</w:t>
      </w:r>
    </w:p>
    <w:p w14:paraId="4DB7A626" w14:textId="77777777" w:rsidR="00AA27CC" w:rsidRPr="009C17BC" w:rsidRDefault="00AA27CC" w:rsidP="003336E1">
      <w:pPr>
        <w:pStyle w:val="Listaszerbekezds"/>
        <w:ind w:left="0"/>
        <w:jc w:val="both"/>
        <w:rPr>
          <w:rFonts w:cstheme="minorHAnsi"/>
          <w:u w:val="single"/>
        </w:rPr>
      </w:pPr>
      <w:r w:rsidRPr="009C17BC">
        <w:rPr>
          <w:rFonts w:cstheme="minorHAnsi"/>
        </w:rPr>
        <w:t xml:space="preserve">Az értékelés objektív mutatóinak kiszámítását, az előző évi számok, első negyedév utolsó munkanapján ismert, előzetes, nem auditált állapota alapján kell elvégezni a tárgyév áprilisának 15. munkanapjáig. </w:t>
      </w:r>
    </w:p>
    <w:p w14:paraId="196DD141" w14:textId="77777777" w:rsidR="00AA27CC" w:rsidRPr="009C17BC" w:rsidRDefault="00AA27CC" w:rsidP="003336E1">
      <w:pPr>
        <w:pStyle w:val="Listaszerbekezds"/>
        <w:ind w:left="0"/>
        <w:jc w:val="both"/>
        <w:rPr>
          <w:rFonts w:cstheme="minorHAnsi"/>
        </w:rPr>
      </w:pPr>
    </w:p>
    <w:p w14:paraId="25016F1A" w14:textId="77777777" w:rsidR="00AA27CC" w:rsidRPr="009C17BC" w:rsidRDefault="00AA27CC" w:rsidP="003336E1">
      <w:pPr>
        <w:pStyle w:val="Listaszerbekezds"/>
        <w:ind w:left="0"/>
        <w:jc w:val="both"/>
        <w:rPr>
          <w:rFonts w:cstheme="minorHAnsi"/>
        </w:rPr>
      </w:pPr>
      <w:r w:rsidRPr="009C17BC">
        <w:rPr>
          <w:rFonts w:cstheme="minorHAnsi"/>
        </w:rPr>
        <w:t xml:space="preserve">A teljesítményértékelésen alapuló mozgó bér kifizethetőségéről az ügyvezetés javaslata alapján a Bank Igazgatósága a Közgyűlést megelőző Felügyelő Bizottsággal összevont alapon tartott ülésén hoz határozatot, mely ülésen az Igazgatóság döntését a Felügyelő Bizottság véleményezi (felügyeleti jogát gyakorolja a belső kontroll feladatkört ellátó munkavállalók javadalmazása tekintetében). A mozgó bér kifizetésére a Bank évi rendes Közgyűlését követő első havi bérszámfejtéssel kerül sor. </w:t>
      </w:r>
    </w:p>
    <w:p w14:paraId="430FECAC" w14:textId="77777777" w:rsidR="00AA27CC" w:rsidRDefault="00AA27CC" w:rsidP="003336E1">
      <w:pPr>
        <w:spacing w:after="240" w:line="276" w:lineRule="auto"/>
        <w:jc w:val="both"/>
        <w:rPr>
          <w:rFonts w:cstheme="minorHAnsi"/>
        </w:rPr>
      </w:pPr>
      <w:r w:rsidRPr="009C17BC">
        <w:rPr>
          <w:rFonts w:cstheme="minorHAnsi"/>
        </w:rPr>
        <w:t xml:space="preserve">A belső kontroll feladatkört ellátó munkavállalók (Belső Ellenőrzési Szakterület, </w:t>
      </w:r>
      <w:proofErr w:type="spellStart"/>
      <w:r w:rsidRPr="009C17BC">
        <w:rPr>
          <w:rFonts w:cstheme="minorHAnsi"/>
        </w:rPr>
        <w:t>Compliance</w:t>
      </w:r>
      <w:proofErr w:type="spellEnd"/>
      <w:r w:rsidRPr="009C17BC">
        <w:rPr>
          <w:rFonts w:cstheme="minorHAnsi"/>
        </w:rPr>
        <w:t xml:space="preserve"> Osztály, Kockázatkezelési és </w:t>
      </w:r>
      <w:proofErr w:type="spellStart"/>
      <w:r w:rsidRPr="009C17BC">
        <w:rPr>
          <w:rFonts w:cstheme="minorHAnsi"/>
        </w:rPr>
        <w:t>Workout</w:t>
      </w:r>
      <w:proofErr w:type="spellEnd"/>
      <w:r w:rsidRPr="009C17BC">
        <w:rPr>
          <w:rFonts w:cstheme="minorHAnsi"/>
        </w:rPr>
        <w:t xml:space="preserve"> Szakterület) javadalmazását a Felügyelő Bizottság felügyeli. </w:t>
      </w:r>
      <w:r w:rsidRPr="009C17BC">
        <w:rPr>
          <w:rFonts w:cstheme="minorHAnsi"/>
          <w:highlight w:val="yellow"/>
        </w:rPr>
        <w:t>Ügyvezetői Értekezleten hozott döntés elegendő a szakterületek beosztott státuszú munkavállalóinak javadalmazási döntései tekintetében.</w:t>
      </w:r>
    </w:p>
    <w:p w14:paraId="12F4065B" w14:textId="77777777" w:rsidR="0050118A" w:rsidRPr="009C17BC" w:rsidRDefault="0050118A" w:rsidP="003336E1">
      <w:pPr>
        <w:spacing w:after="240" w:line="276" w:lineRule="auto"/>
        <w:jc w:val="both"/>
        <w:rPr>
          <w:rFonts w:cstheme="minorHAnsi"/>
        </w:rPr>
      </w:pPr>
    </w:p>
    <w:p w14:paraId="54F74D1D" w14:textId="77777777" w:rsidR="00AA27CC" w:rsidRPr="009C17BC" w:rsidRDefault="00AA27CC" w:rsidP="003336E1">
      <w:pPr>
        <w:pStyle w:val="Listaszerbekezds"/>
        <w:ind w:left="0"/>
        <w:jc w:val="both"/>
        <w:rPr>
          <w:rFonts w:cstheme="minorHAnsi"/>
          <w:u w:val="single"/>
        </w:rPr>
      </w:pPr>
      <w:r w:rsidRPr="009C17BC">
        <w:rPr>
          <w:rFonts w:cstheme="minorHAnsi"/>
          <w:u w:val="single"/>
        </w:rPr>
        <w:lastRenderedPageBreak/>
        <w:t>A vezetői ösztönzési rendszer elemei:</w:t>
      </w:r>
    </w:p>
    <w:p w14:paraId="2E562814" w14:textId="77777777" w:rsidR="00AA27CC" w:rsidRPr="009C17BC" w:rsidRDefault="00AA27CC" w:rsidP="003336E1">
      <w:pPr>
        <w:pStyle w:val="Listaszerbekezds"/>
        <w:ind w:left="0"/>
        <w:jc w:val="both"/>
        <w:rPr>
          <w:rFonts w:cstheme="minorHAnsi"/>
          <w:u w:val="single"/>
        </w:rPr>
      </w:pPr>
    </w:p>
    <w:p w14:paraId="3A4C593D" w14:textId="77777777" w:rsidR="00AA27CC" w:rsidRPr="009C17BC" w:rsidRDefault="00AA27CC" w:rsidP="003336E1">
      <w:pPr>
        <w:pStyle w:val="Listaszerbekezds"/>
        <w:ind w:left="0"/>
        <w:jc w:val="both"/>
        <w:rPr>
          <w:rFonts w:cstheme="minorHAnsi"/>
        </w:rPr>
      </w:pPr>
      <w:r w:rsidRPr="009C17BC">
        <w:rPr>
          <w:rFonts w:cstheme="minorHAnsi"/>
        </w:rPr>
        <w:t xml:space="preserve">Az ösztönzési rendszer alapelvei szerint az egyéni ösztönzési lapok </w:t>
      </w:r>
      <w:r w:rsidRPr="009C17BC">
        <w:rPr>
          <w:rFonts w:cstheme="minorHAnsi"/>
          <w:i/>
        </w:rPr>
        <w:t>(jelen szabályzat 3.sz. melléklete)</w:t>
      </w:r>
      <w:r w:rsidRPr="009C17BC">
        <w:rPr>
          <w:rFonts w:cstheme="minorHAnsi"/>
        </w:rPr>
        <w:t xml:space="preserve"> a rendszer hatálya alá tartozó személyek vonatkozásában szervezeti egység szubjektív, egyéni szubjektív, illetve banki és szervezeti egység és egyéni objektív szempontokat tartalmaznak. A rendszer Banki és egyéni szinten objektív és szubjektív elemeken nyugszik. Az ügyvezetők esetén az értékelés kizárólag objektív szempontok alapján történik, az esetükben az objektív szempontok alapján elérhető maximális pontszám 1000. </w:t>
      </w:r>
    </w:p>
    <w:p w14:paraId="1E084810" w14:textId="77777777" w:rsidR="00AA27CC" w:rsidRPr="009C17BC" w:rsidRDefault="00AA27CC" w:rsidP="003336E1">
      <w:pPr>
        <w:pStyle w:val="Listaszerbekezds"/>
        <w:ind w:left="0"/>
        <w:jc w:val="both"/>
        <w:rPr>
          <w:rFonts w:cstheme="minorHAnsi"/>
        </w:rPr>
      </w:pPr>
    </w:p>
    <w:p w14:paraId="3EC14B8E" w14:textId="77777777" w:rsidR="00AA27CC" w:rsidRPr="009C17BC" w:rsidRDefault="00AA27CC" w:rsidP="003336E1">
      <w:pPr>
        <w:pStyle w:val="Listaszerbekezds"/>
        <w:ind w:left="0"/>
        <w:jc w:val="both"/>
        <w:rPr>
          <w:rFonts w:cstheme="minorHAnsi"/>
        </w:rPr>
      </w:pPr>
      <w:r w:rsidRPr="009C17BC">
        <w:rPr>
          <w:rFonts w:cstheme="minorHAnsi"/>
        </w:rPr>
        <w:t>Az értékesítést végző munkavállalók esetében a mozgó bér kifizetése a Bank Duna kavics jutalék rendszere alapján történik, esetükben egyéni szubjektív és objektív  szempontok (400 pontos maximum) alapján elvégzett minősítési rendszer működik..</w:t>
      </w:r>
    </w:p>
    <w:p w14:paraId="187C53D7" w14:textId="77777777" w:rsidR="00AA27CC" w:rsidRPr="009C17BC" w:rsidRDefault="00AA27CC" w:rsidP="003336E1">
      <w:pPr>
        <w:pStyle w:val="Listaszerbekezds"/>
        <w:ind w:left="0"/>
        <w:jc w:val="both"/>
        <w:rPr>
          <w:rFonts w:cstheme="minorHAnsi"/>
        </w:rPr>
      </w:pPr>
    </w:p>
    <w:p w14:paraId="74A91CFE" w14:textId="77777777" w:rsidR="00AA27CC" w:rsidRPr="009C17BC" w:rsidRDefault="00AA27CC" w:rsidP="003336E1">
      <w:pPr>
        <w:pStyle w:val="Listaszerbekezds"/>
        <w:ind w:left="0"/>
        <w:jc w:val="both"/>
        <w:rPr>
          <w:rFonts w:cstheme="minorHAnsi"/>
        </w:rPr>
      </w:pPr>
      <w:r w:rsidRPr="009C17BC">
        <w:rPr>
          <w:rFonts w:cstheme="minorHAnsi"/>
        </w:rPr>
        <w:t>Az egyéni teljesítmény alapján ösztönzött munkatársak esetében a mozgó bér kifizetése a személyükre meghatározott szubjektív és objektív egyéni célkitűzések alapján történik.</w:t>
      </w:r>
      <w:r w:rsidRPr="009C17BC">
        <w:rPr>
          <w:rFonts w:cstheme="minorHAnsi"/>
          <w:u w:val="single"/>
        </w:rPr>
        <w:t xml:space="preserve"> Minőségi mutatók</w:t>
      </w:r>
      <w:r w:rsidRPr="009C17BC">
        <w:rPr>
          <w:rFonts w:cstheme="minorHAnsi"/>
        </w:rPr>
        <w:t xml:space="preserve"> (TÉR rendszer egyéni szubjektív, egyéni objektív szempontjai) 20%-os maximum értékkel számolandó az értékelés eredményének százalékos arányában, az objektív mutatók pedig 80%-os értékkel.</w:t>
      </w:r>
    </w:p>
    <w:p w14:paraId="16CA3DD4" w14:textId="77777777" w:rsidR="00AA27CC" w:rsidRPr="009C17BC" w:rsidRDefault="00AA27CC" w:rsidP="003336E1">
      <w:pPr>
        <w:pStyle w:val="Listaszerbekezds"/>
        <w:jc w:val="both"/>
        <w:rPr>
          <w:rFonts w:cstheme="minorHAnsi"/>
        </w:rPr>
      </w:pPr>
    </w:p>
    <w:p w14:paraId="67B2A3BD" w14:textId="77777777" w:rsidR="00AA27CC" w:rsidRPr="009C17BC" w:rsidRDefault="00AA27CC" w:rsidP="003336E1">
      <w:pPr>
        <w:pStyle w:val="Listaszerbekezds"/>
        <w:ind w:left="0"/>
        <w:jc w:val="both"/>
        <w:rPr>
          <w:rFonts w:cstheme="minorHAnsi"/>
        </w:rPr>
      </w:pPr>
      <w:r w:rsidRPr="009C17BC">
        <w:rPr>
          <w:rFonts w:cstheme="minorHAnsi"/>
        </w:rPr>
        <w:t>Az értékelési alapelvek figyelembe veszik a Javadalmazási Politikában meghatározott arányokat az objektív és a szubjektív értékelési szempontok között. Ennek megfelelően egyéni szubjektív értékeléssel 300 pont, a banki és egyéni objektívvel 1000 pont, szervezeti szubjektív és objektívvel pedig 300 pont, összesen 16t érhető el.</w:t>
      </w:r>
    </w:p>
    <w:p w14:paraId="4B406C91" w14:textId="77777777" w:rsidR="00AA27CC" w:rsidRPr="009C17BC" w:rsidRDefault="00AA27CC" w:rsidP="003336E1">
      <w:pPr>
        <w:pStyle w:val="Listaszerbekezds"/>
        <w:jc w:val="both"/>
        <w:rPr>
          <w:rFonts w:cstheme="minorHAnsi"/>
        </w:rPr>
      </w:pPr>
    </w:p>
    <w:p w14:paraId="0191C787" w14:textId="77777777" w:rsidR="00AA27CC" w:rsidRPr="009C17BC" w:rsidRDefault="00AA27CC" w:rsidP="003336E1">
      <w:pPr>
        <w:pStyle w:val="Listaszerbekezds"/>
        <w:ind w:left="0"/>
        <w:jc w:val="both"/>
        <w:rPr>
          <w:rFonts w:cstheme="minorHAnsi"/>
        </w:rPr>
      </w:pPr>
      <w:r w:rsidRPr="009C17BC">
        <w:rPr>
          <w:rFonts w:cstheme="minorHAnsi"/>
        </w:rPr>
        <w:t xml:space="preserve">A teljesítmény alapú javadalmazást az értékesítést végző munkatársak részére a Dunakavics rendszer, vezető állású és vezető beosztású munkatársak, valamint értékesítést nem végző munkatársak részére a fent leírt (részletesen a 2. számú mellékletben részletezett) ösztönzési rendszer hivatott biztosítani. </w:t>
      </w:r>
    </w:p>
    <w:p w14:paraId="50A03925" w14:textId="77777777" w:rsidR="00AA27CC" w:rsidRPr="009C17BC" w:rsidRDefault="00AA27CC" w:rsidP="003336E1">
      <w:pPr>
        <w:spacing w:before="100" w:beforeAutospacing="1" w:after="100" w:afterAutospacing="1" w:line="240" w:lineRule="auto"/>
        <w:jc w:val="both"/>
        <w:rPr>
          <w:rFonts w:cstheme="minorHAnsi"/>
        </w:rPr>
      </w:pPr>
      <w:r w:rsidRPr="009C17BC">
        <w:rPr>
          <w:rFonts w:cstheme="minorHAnsi"/>
        </w:rPr>
        <w:t xml:space="preserve">A vezetői ösztönzési rendszer egyéni teljesítményértékeléshez kötött, évente egyszer megvalósuló, a Bank mérlegelfogadó közgyűlését követő bérfizetéssel egy időben történő pénzbeli juttatás formájában valósul meg. </w:t>
      </w:r>
    </w:p>
    <w:p w14:paraId="2DBD15A3" w14:textId="77777777" w:rsidR="00AA27CC" w:rsidRPr="009C17BC" w:rsidRDefault="00AA27CC" w:rsidP="003336E1">
      <w:pPr>
        <w:spacing w:before="100" w:beforeAutospacing="1" w:after="100" w:afterAutospacing="1" w:line="240" w:lineRule="auto"/>
        <w:jc w:val="both"/>
        <w:rPr>
          <w:rFonts w:cstheme="minorHAnsi"/>
        </w:rPr>
      </w:pPr>
      <w:r w:rsidRPr="009C17BC">
        <w:rPr>
          <w:rFonts w:cstheme="minorHAnsi"/>
        </w:rPr>
        <w:t>A vezetői ösztönzési rendszerben használt objektív mutatókat és azok számítási alapját képező értékhatárokat a 6. számú melléklet tartalmazza.</w:t>
      </w:r>
    </w:p>
    <w:p w14:paraId="2A00AC0E" w14:textId="0287BF0C" w:rsidR="009030D3" w:rsidRPr="009C17BC" w:rsidRDefault="00AA27CC" w:rsidP="003336E1">
      <w:pPr>
        <w:spacing w:before="100" w:beforeAutospacing="1" w:after="100" w:afterAutospacing="1" w:line="240" w:lineRule="auto"/>
        <w:jc w:val="both"/>
        <w:rPr>
          <w:rFonts w:cstheme="minorHAnsi"/>
        </w:rPr>
      </w:pPr>
      <w:r w:rsidRPr="009C17BC">
        <w:rPr>
          <w:rFonts w:cstheme="minorHAnsi"/>
        </w:rPr>
        <w:t xml:space="preserve">A Bank saját teljesítményértékelési és ösztönzési rendszert dolgozhat ki, de az minden esetben meg kell hogy feleljen a Javadalmazási Politikában meghatározott elveknek és szabályoknak. </w:t>
      </w:r>
    </w:p>
    <w:p w14:paraId="2C177E66" w14:textId="77777777" w:rsidR="00AA27CC" w:rsidRPr="009C17BC" w:rsidRDefault="00AA27CC" w:rsidP="003336E1">
      <w:pPr>
        <w:spacing w:before="100" w:beforeAutospacing="1" w:after="100" w:afterAutospacing="1" w:line="240" w:lineRule="auto"/>
        <w:jc w:val="both"/>
        <w:rPr>
          <w:rFonts w:cstheme="minorHAnsi"/>
          <w:b/>
          <w:u w:val="single"/>
        </w:rPr>
      </w:pPr>
      <w:r w:rsidRPr="009C17BC">
        <w:rPr>
          <w:rFonts w:cstheme="minorHAnsi"/>
          <w:b/>
          <w:u w:val="single"/>
        </w:rPr>
        <w:t>Azonosított személyek teljesítményértékelése</w:t>
      </w:r>
    </w:p>
    <w:p w14:paraId="1C58DBB5" w14:textId="77777777" w:rsidR="00AA27CC" w:rsidRDefault="00AA27CC" w:rsidP="003336E1">
      <w:pPr>
        <w:spacing w:before="100" w:beforeAutospacing="1" w:after="100" w:afterAutospacing="1" w:line="240" w:lineRule="auto"/>
        <w:jc w:val="both"/>
        <w:rPr>
          <w:rFonts w:eastAsia="Times New Roman" w:cstheme="minorHAnsi"/>
          <w:lang w:eastAsia="hu-HU"/>
        </w:rPr>
      </w:pPr>
      <w:r w:rsidRPr="009C17BC">
        <w:rPr>
          <w:rFonts w:eastAsia="Times New Roman" w:cstheme="minorHAnsi"/>
          <w:lang w:eastAsia="hu-HU"/>
        </w:rPr>
        <w:t>Teljesítményjavadalmazásnál egyszerre kell értékelni az azonosított személy - pénzügyi és nem pénzügyi kritériumokon alapuló -, az érintett szervezeti egység és a Bank eredményét. A teljesítményértékelés alapja a Bank hosszú távú teljesítménye, ezért az értékelés többéves időtávra terjed ki, és a teljesítményjavadalmazás kifizetésére kötelezettséget vállalni csak kivételesen, új munkavállaló felvételekor egy évre lehet. A Bank a teljesítményjavadalmazásként szétosztható összeg meghatározásánál figyelembe veszi az üzleti ciklusokat, a jelenlegi és jövőbeni kockázatokat, a tőke költségét és a szükséges likviditást.</w:t>
      </w:r>
    </w:p>
    <w:p w14:paraId="4E418221" w14:textId="77777777" w:rsidR="0050118A" w:rsidRPr="009C17BC" w:rsidRDefault="0050118A" w:rsidP="003336E1">
      <w:pPr>
        <w:spacing w:before="100" w:beforeAutospacing="1" w:after="100" w:afterAutospacing="1" w:line="240" w:lineRule="auto"/>
        <w:jc w:val="both"/>
        <w:rPr>
          <w:rFonts w:cstheme="minorHAnsi"/>
          <w:b/>
          <w:i/>
          <w:u w:val="single"/>
        </w:rPr>
      </w:pPr>
    </w:p>
    <w:p w14:paraId="17F181A1" w14:textId="156203DD" w:rsidR="00AA27CC" w:rsidRPr="009C17BC" w:rsidRDefault="00AA27CC" w:rsidP="003336E1">
      <w:pPr>
        <w:pStyle w:val="Listaszerbekezds"/>
        <w:numPr>
          <w:ilvl w:val="2"/>
          <w:numId w:val="13"/>
        </w:numPr>
        <w:jc w:val="both"/>
        <w:outlineLvl w:val="0"/>
        <w:rPr>
          <w:rFonts w:cstheme="minorHAnsi"/>
          <w:b/>
        </w:rPr>
      </w:pPr>
      <w:bookmarkStart w:id="103" w:name="_Toc147237482"/>
      <w:r w:rsidRPr="009C17BC">
        <w:rPr>
          <w:rFonts w:cstheme="minorHAnsi"/>
          <w:b/>
        </w:rPr>
        <w:lastRenderedPageBreak/>
        <w:t>Visszakövetelési szabályok és a halasztott kifizetés</w:t>
      </w:r>
      <w:bookmarkEnd w:id="103"/>
    </w:p>
    <w:p w14:paraId="2706ACEB" w14:textId="77777777" w:rsidR="00AA27CC" w:rsidRPr="009C17BC" w:rsidRDefault="00AA27CC" w:rsidP="003336E1">
      <w:pPr>
        <w:pStyle w:val="Listaszerbekezds"/>
        <w:jc w:val="both"/>
        <w:rPr>
          <w:rFonts w:cstheme="minorHAnsi"/>
        </w:rPr>
      </w:pPr>
    </w:p>
    <w:p w14:paraId="46248C63" w14:textId="77777777" w:rsidR="00AA27CC" w:rsidRPr="009C17BC" w:rsidRDefault="00AA27CC" w:rsidP="003336E1">
      <w:pPr>
        <w:pStyle w:val="Listaszerbekezds"/>
        <w:spacing w:after="0"/>
        <w:ind w:left="0"/>
        <w:jc w:val="both"/>
        <w:rPr>
          <w:rFonts w:cstheme="minorHAnsi"/>
        </w:rPr>
      </w:pPr>
      <w:r w:rsidRPr="009C17BC">
        <w:rPr>
          <w:rFonts w:cstheme="minorHAnsi"/>
        </w:rPr>
        <w:t>Ha a Bank pénzügyi teljesítménye a belső szabályzatban meghatározottak szerinti mértékben azért romlik, mert az adott vezető állású személy, munkavállaló túlzott kockázatot vállalt, a vezető állású személy, munkavállaló kifizetendő teljesítményjavadalmazását csökkenteni kell. A munkavállaló részére teljesített teljesítményjavadalmazás részben vagy teljes mértékben csökkenthető és/vagy az értékelt és az azt megelőző két üzleti év tekintetében visszakövetelhető, amennyiben a teljesítményértékelés során kiderül, hogy az említett időszakban az adott munkatárs:</w:t>
      </w:r>
    </w:p>
    <w:p w14:paraId="032A83B7" w14:textId="77777777" w:rsidR="00AA27CC" w:rsidRPr="009C17BC" w:rsidRDefault="00AA27CC" w:rsidP="003336E1">
      <w:pPr>
        <w:numPr>
          <w:ilvl w:val="0"/>
          <w:numId w:val="14"/>
        </w:numPr>
        <w:spacing w:before="100" w:beforeAutospacing="1" w:after="0" w:line="240" w:lineRule="auto"/>
        <w:ind w:left="1775" w:hanging="357"/>
        <w:jc w:val="both"/>
        <w:rPr>
          <w:rFonts w:cstheme="minorHAnsi"/>
        </w:rPr>
      </w:pPr>
      <w:r w:rsidRPr="009C17BC">
        <w:rPr>
          <w:rFonts w:cstheme="minorHAnsi"/>
        </w:rPr>
        <w:t>részese vagy felelőse volt olyan gyakorlatnak, amely a hitelintézet számára jelentős</w:t>
      </w:r>
      <w:r w:rsidRPr="009C17BC">
        <w:rPr>
          <w:rStyle w:val="Lbjegyzet-hivatkozs"/>
          <w:rFonts w:cstheme="minorHAnsi"/>
        </w:rPr>
        <w:footnoteReference w:id="2"/>
      </w:r>
      <w:r w:rsidRPr="009C17BC">
        <w:rPr>
          <w:rFonts w:cstheme="minorHAnsi"/>
        </w:rPr>
        <w:t xml:space="preserve"> veszteséget okozott vagy</w:t>
      </w:r>
    </w:p>
    <w:p w14:paraId="110BBD7A" w14:textId="77777777" w:rsidR="00AA27CC" w:rsidRPr="009C17BC" w:rsidRDefault="00AA27CC" w:rsidP="003336E1">
      <w:pPr>
        <w:numPr>
          <w:ilvl w:val="0"/>
          <w:numId w:val="14"/>
        </w:numPr>
        <w:spacing w:before="100" w:beforeAutospacing="1" w:after="0" w:line="240" w:lineRule="auto"/>
        <w:ind w:left="1775" w:hanging="357"/>
        <w:jc w:val="both"/>
        <w:rPr>
          <w:rFonts w:cstheme="minorHAnsi"/>
        </w:rPr>
      </w:pPr>
      <w:r w:rsidRPr="009C17BC">
        <w:rPr>
          <w:rFonts w:cstheme="minorHAnsi"/>
        </w:rPr>
        <w:t>súlyos szabályszegést követett el vagy</w:t>
      </w:r>
    </w:p>
    <w:p w14:paraId="0A70BB6E" w14:textId="77777777" w:rsidR="00AA27CC" w:rsidRPr="009C17BC" w:rsidRDefault="00AA27CC" w:rsidP="003336E1">
      <w:pPr>
        <w:numPr>
          <w:ilvl w:val="0"/>
          <w:numId w:val="14"/>
        </w:numPr>
        <w:spacing w:before="100" w:beforeAutospacing="1" w:after="0" w:line="240" w:lineRule="auto"/>
        <w:ind w:left="1775" w:hanging="357"/>
        <w:jc w:val="both"/>
        <w:rPr>
          <w:rFonts w:cstheme="minorHAnsi"/>
        </w:rPr>
      </w:pPr>
      <w:r w:rsidRPr="009C17BC">
        <w:rPr>
          <w:rFonts w:cstheme="minorHAnsi"/>
        </w:rPr>
        <w:t>a pénzügyi teljesítmény azért romlott, mert túlzott kockázatot vállalt vagy</w:t>
      </w:r>
    </w:p>
    <w:p w14:paraId="21D327BB" w14:textId="77777777" w:rsidR="00AA27CC" w:rsidRPr="009C17BC" w:rsidRDefault="00AA27CC" w:rsidP="003336E1">
      <w:pPr>
        <w:numPr>
          <w:ilvl w:val="0"/>
          <w:numId w:val="14"/>
        </w:numPr>
        <w:spacing w:before="100" w:beforeAutospacing="1" w:after="0" w:line="240" w:lineRule="auto"/>
        <w:ind w:left="1775" w:hanging="357"/>
        <w:jc w:val="both"/>
        <w:rPr>
          <w:rFonts w:cstheme="minorHAnsi"/>
        </w:rPr>
      </w:pPr>
      <w:r w:rsidRPr="009C17BC">
        <w:rPr>
          <w:rFonts w:cstheme="minorHAnsi"/>
        </w:rPr>
        <w:t>csalást, vagy egyéb visszaélést követett el, vagy fennáll ennek az alapos gyanúja, vagy más szándékos vagy súlyosan gondatlan kötelezettségszegő magatartást tanúsított vagy</w:t>
      </w:r>
    </w:p>
    <w:p w14:paraId="3CA7F053" w14:textId="77777777" w:rsidR="00AA27CC" w:rsidRPr="009C17BC" w:rsidRDefault="00AA27CC" w:rsidP="003336E1">
      <w:pPr>
        <w:numPr>
          <w:ilvl w:val="0"/>
          <w:numId w:val="14"/>
        </w:numPr>
        <w:spacing w:before="100" w:beforeAutospacing="1" w:after="0" w:line="240" w:lineRule="auto"/>
        <w:ind w:left="1775" w:hanging="357"/>
        <w:jc w:val="both"/>
        <w:rPr>
          <w:rFonts w:cstheme="minorHAnsi"/>
        </w:rPr>
      </w:pPr>
      <w:r w:rsidRPr="009C17BC">
        <w:rPr>
          <w:rFonts w:cstheme="minorHAnsi"/>
        </w:rPr>
        <w:t>a munkaviszonya a magatartásával (súlyos kötelezettségszegésével) indokolt azonnali hatályú felmondással kerül megszűntetésre</w:t>
      </w:r>
    </w:p>
    <w:p w14:paraId="11BB6D42" w14:textId="77777777" w:rsidR="00AA27CC" w:rsidRPr="009C17BC" w:rsidRDefault="00AA27CC" w:rsidP="003336E1">
      <w:pPr>
        <w:spacing w:before="100" w:beforeAutospacing="1" w:after="100" w:afterAutospacing="1" w:line="240" w:lineRule="auto"/>
        <w:jc w:val="both"/>
        <w:rPr>
          <w:rFonts w:cstheme="minorHAnsi"/>
        </w:rPr>
      </w:pPr>
      <w:r w:rsidRPr="009C17BC">
        <w:rPr>
          <w:rFonts w:cstheme="minorHAnsi"/>
        </w:rPr>
        <w:t>Azonosított személyek esetében, az értékelt és az azt megelőző két üzleti év tekintetében teljesítendő és már nyújtott teljesítmény javadalmazás akkor is megtagadható és visszakövetelhető,</w:t>
      </w:r>
    </w:p>
    <w:p w14:paraId="5E5B2CEE" w14:textId="77777777" w:rsidR="00AA27CC" w:rsidRPr="009C17BC" w:rsidRDefault="00AA27CC" w:rsidP="003336E1">
      <w:pPr>
        <w:pStyle w:val="Listaszerbekezds"/>
        <w:numPr>
          <w:ilvl w:val="0"/>
          <w:numId w:val="28"/>
        </w:numPr>
        <w:spacing w:before="100" w:beforeAutospacing="1" w:after="100" w:afterAutospacing="1" w:line="240" w:lineRule="auto"/>
        <w:jc w:val="both"/>
        <w:rPr>
          <w:rFonts w:cstheme="minorHAnsi"/>
        </w:rPr>
      </w:pPr>
      <w:r w:rsidRPr="009C17BC">
        <w:rPr>
          <w:rFonts w:cstheme="minorHAnsi"/>
        </w:rPr>
        <w:t>ha a Bankkal szemben a felügyeleti hatóság (MNB) az értékelt és az azt megelőző bármelyik év működése tekintetében 100 millió Ft-ot meghaladó bírságot szab ki, és/vagy</w:t>
      </w:r>
    </w:p>
    <w:p w14:paraId="6AD789E3" w14:textId="77777777" w:rsidR="00AA27CC" w:rsidRPr="009C17BC" w:rsidRDefault="00AA27CC" w:rsidP="003336E1">
      <w:pPr>
        <w:pStyle w:val="Listaszerbekezds"/>
        <w:numPr>
          <w:ilvl w:val="0"/>
          <w:numId w:val="28"/>
        </w:numPr>
        <w:spacing w:before="100" w:beforeAutospacing="1" w:after="100" w:afterAutospacing="1" w:line="240" w:lineRule="auto"/>
        <w:jc w:val="both"/>
        <w:rPr>
          <w:rFonts w:cstheme="minorHAnsi"/>
        </w:rPr>
      </w:pPr>
      <w:r w:rsidRPr="009C17BC">
        <w:rPr>
          <w:rFonts w:cstheme="minorHAnsi"/>
        </w:rPr>
        <w:t>a felügyeleti hatóság (MNB), a Bankkal szemben a</w:t>
      </w:r>
      <w:r w:rsidRPr="009C17BC">
        <w:rPr>
          <w:rFonts w:eastAsiaTheme="minorHAnsi" w:cstheme="minorHAnsi"/>
        </w:rPr>
        <w:t xml:space="preserve"> hitelintézetekről és a pénzügyi vállalkozásokról szóló 2013. évi CCXXXVII. évi törvény (Hpt.) 189. paragrafusában felsorolt bármely kivételes intézkedés meghozatalára kényszerül </w:t>
      </w:r>
    </w:p>
    <w:p w14:paraId="69D1CB17" w14:textId="77777777" w:rsidR="00AA27CC" w:rsidRPr="009C17BC" w:rsidRDefault="00AA27CC" w:rsidP="003336E1">
      <w:pPr>
        <w:spacing w:before="100" w:beforeAutospacing="1" w:after="100" w:afterAutospacing="1" w:line="240" w:lineRule="auto"/>
        <w:jc w:val="both"/>
        <w:rPr>
          <w:rFonts w:cstheme="minorHAnsi"/>
        </w:rPr>
      </w:pPr>
      <w:r w:rsidRPr="009C17BC">
        <w:rPr>
          <w:rFonts w:cstheme="minorHAnsi"/>
        </w:rPr>
        <w:t>Az azonosított személyek tekintetében, az előző két bekezdésben felsorolt okok bármelyikének bekövetkezése esetén az értékelt és az azt megelőző két üzleti év után kifizetett teljesítmény javadalmazás együttes összege követelhető vissza.</w:t>
      </w:r>
    </w:p>
    <w:p w14:paraId="3069147D" w14:textId="77777777" w:rsidR="00AA27CC" w:rsidRPr="009C17BC" w:rsidRDefault="00AA27CC" w:rsidP="003336E1">
      <w:pPr>
        <w:spacing w:before="100" w:beforeAutospacing="1" w:after="100" w:afterAutospacing="1" w:line="240" w:lineRule="auto"/>
        <w:jc w:val="both"/>
        <w:rPr>
          <w:rFonts w:cstheme="minorHAnsi"/>
        </w:rPr>
      </w:pPr>
      <w:r w:rsidRPr="009C17BC">
        <w:rPr>
          <w:rFonts w:cstheme="minorHAnsi"/>
        </w:rPr>
        <w:t xml:space="preserve">Teljesítmény javadalmazás visszakövetelésére a </w:t>
      </w:r>
      <w:r w:rsidRPr="009C17BC">
        <w:rPr>
          <w:rFonts w:cstheme="minorHAnsi"/>
          <w:b/>
        </w:rPr>
        <w:t>visszakövetelési időszakban</w:t>
      </w:r>
      <w:r w:rsidRPr="009C17BC">
        <w:rPr>
          <w:rFonts w:cstheme="minorHAnsi"/>
        </w:rPr>
        <w:t xml:space="preserve"> van lehetősége a Bank arra illetékes testületének. Visszakövetelési időszaknak minősül az értékelt és az azt megelőző két üzleti év.  </w:t>
      </w:r>
    </w:p>
    <w:p w14:paraId="4A43BECD" w14:textId="77777777" w:rsidR="00AA27CC" w:rsidRPr="009C17BC" w:rsidRDefault="00AA27CC" w:rsidP="003336E1">
      <w:pPr>
        <w:spacing w:before="100" w:beforeAutospacing="1" w:after="100" w:afterAutospacing="1" w:line="240" w:lineRule="auto"/>
        <w:jc w:val="both"/>
        <w:rPr>
          <w:rFonts w:cstheme="minorHAnsi"/>
        </w:rPr>
      </w:pPr>
      <w:r w:rsidRPr="009C17BC">
        <w:rPr>
          <w:rFonts w:cstheme="minorHAnsi"/>
        </w:rPr>
        <w:t xml:space="preserve">A munkáltató a munkavállaló munkaviszonnyal összefüggő tartozásainak megtérítésére irányuló igényét írásbeli felszólítással érvényesítheti. A felszólításban meg kell határozni a visszakövetelés jogalapját, a visszafizetendő összeget, a befizetés határnapját és módját, tájékoztatni kell a munkavállalót a jogorvoslat módjáról és </w:t>
      </w:r>
      <w:proofErr w:type="spellStart"/>
      <w:r w:rsidRPr="009C17BC">
        <w:rPr>
          <w:rFonts w:cstheme="minorHAnsi"/>
        </w:rPr>
        <w:t>határidejéről</w:t>
      </w:r>
      <w:proofErr w:type="spellEnd"/>
      <w:r w:rsidRPr="009C17BC">
        <w:rPr>
          <w:rFonts w:cstheme="minorHAnsi"/>
        </w:rPr>
        <w:t xml:space="preserve"> is. A munkáltató nem köteles élni a fizetési felszólítás lehetőségével, hanem igényét keresettel (fizetési meghagyással is) érvényesítheti. </w:t>
      </w:r>
    </w:p>
    <w:p w14:paraId="23FB8B93" w14:textId="77777777" w:rsidR="00AA27CC" w:rsidRPr="009C17BC" w:rsidRDefault="00AA27CC" w:rsidP="003336E1">
      <w:pPr>
        <w:spacing w:before="100" w:beforeAutospacing="1" w:after="100" w:afterAutospacing="1" w:line="240" w:lineRule="auto"/>
        <w:jc w:val="both"/>
        <w:rPr>
          <w:rFonts w:cstheme="minorHAnsi"/>
        </w:rPr>
      </w:pPr>
      <w:r w:rsidRPr="009C17BC">
        <w:rPr>
          <w:rFonts w:cstheme="minorHAnsi"/>
        </w:rPr>
        <w:t>A visszaköveteléssel kapcsolatos döntések meghozatalára a Bank Felügyelő Bizottsága jogosult.</w:t>
      </w:r>
    </w:p>
    <w:p w14:paraId="60BB6CDC" w14:textId="77777777" w:rsidR="0050118A" w:rsidRDefault="0050118A" w:rsidP="003336E1">
      <w:pPr>
        <w:spacing w:before="100" w:beforeAutospacing="1" w:after="100" w:afterAutospacing="1" w:line="240" w:lineRule="auto"/>
        <w:jc w:val="both"/>
        <w:rPr>
          <w:rFonts w:eastAsia="Times New Roman" w:cstheme="minorHAnsi"/>
          <w:b/>
          <w:u w:val="single"/>
          <w:lang w:eastAsia="hu-HU"/>
        </w:rPr>
      </w:pPr>
    </w:p>
    <w:p w14:paraId="04265CB9" w14:textId="422A02D5" w:rsidR="00AA27CC" w:rsidRPr="009C17BC" w:rsidRDefault="00AA27CC" w:rsidP="003336E1">
      <w:pPr>
        <w:spacing w:before="100" w:beforeAutospacing="1" w:after="100" w:afterAutospacing="1" w:line="240" w:lineRule="auto"/>
        <w:jc w:val="both"/>
        <w:rPr>
          <w:rFonts w:eastAsia="Times New Roman" w:cstheme="minorHAnsi"/>
          <w:b/>
          <w:u w:val="single"/>
          <w:lang w:eastAsia="hu-HU"/>
        </w:rPr>
      </w:pPr>
      <w:r w:rsidRPr="009C17BC">
        <w:rPr>
          <w:rFonts w:eastAsia="Times New Roman" w:cstheme="minorHAnsi"/>
          <w:b/>
          <w:u w:val="single"/>
          <w:lang w:eastAsia="hu-HU"/>
        </w:rPr>
        <w:lastRenderedPageBreak/>
        <w:t>Halasztott kifizetés</w:t>
      </w:r>
    </w:p>
    <w:p w14:paraId="4EBFE246" w14:textId="77777777" w:rsidR="00AA27CC" w:rsidRPr="009C17BC" w:rsidRDefault="00AA27CC" w:rsidP="003336E1">
      <w:pPr>
        <w:spacing w:after="0" w:line="240" w:lineRule="auto"/>
        <w:jc w:val="both"/>
        <w:rPr>
          <w:rFonts w:cstheme="minorHAnsi"/>
        </w:rPr>
      </w:pPr>
      <w:r w:rsidRPr="009C17BC">
        <w:rPr>
          <w:rFonts w:cstheme="minorHAnsi"/>
        </w:rPr>
        <w:t>Nem kerül sor a teljesítményjavadalmazás kifizetésekor halasztás alkalmazására, amíg a Bank megfelel az alábbi feltételnek:</w:t>
      </w:r>
    </w:p>
    <w:p w14:paraId="325872B2" w14:textId="77777777" w:rsidR="00AA27CC" w:rsidRPr="009C17BC" w:rsidRDefault="00AA27CC" w:rsidP="003336E1">
      <w:pPr>
        <w:spacing w:after="0" w:line="240" w:lineRule="auto"/>
        <w:jc w:val="both"/>
        <w:rPr>
          <w:rFonts w:cstheme="minorHAnsi"/>
        </w:rPr>
      </w:pPr>
      <w:r w:rsidRPr="009C17BC">
        <w:rPr>
          <w:rFonts w:cstheme="minorHAnsi"/>
        </w:rPr>
        <w:t xml:space="preserve"> A Bank nem minősül az </w:t>
      </w:r>
      <w:hyperlink r:id="rId11" w:tgtFrame="_blank" w:history="1">
        <w:r w:rsidRPr="009C17BC">
          <w:rPr>
            <w:rStyle w:val="Hiperhivatkozs"/>
            <w:rFonts w:cstheme="minorHAnsi"/>
            <w:color w:val="auto"/>
            <w:u w:val="none"/>
          </w:rPr>
          <w:t>575/2013/EU rendelet 4. cikk (1) bekezdés 146. pontjában</w:t>
        </w:r>
      </w:hyperlink>
      <w:r w:rsidRPr="009C17BC">
        <w:rPr>
          <w:rFonts w:cstheme="minorHAnsi"/>
        </w:rPr>
        <w:t xml:space="preserve"> meghatározott nagy méretű hitelintézetnek, és az egyedi alapon számított, előző négy év végi mérlegfőösszegének átlaga nem haladja meg az ezerötszáz-milliárd forintot.</w:t>
      </w:r>
    </w:p>
    <w:p w14:paraId="0634D349" w14:textId="77777777" w:rsidR="00AA27CC" w:rsidRPr="009C17BC" w:rsidRDefault="00AA27CC" w:rsidP="003336E1">
      <w:pPr>
        <w:spacing w:after="0" w:line="240" w:lineRule="auto"/>
        <w:jc w:val="both"/>
        <w:rPr>
          <w:rStyle w:val="markedcontent"/>
          <w:rFonts w:cstheme="minorHAnsi"/>
        </w:rPr>
      </w:pPr>
      <w:r w:rsidRPr="009C17BC">
        <w:rPr>
          <w:rStyle w:val="markedcontent"/>
          <w:rFonts w:cstheme="minorHAnsi"/>
        </w:rPr>
        <w:t>A folyó pénzügyi évet közvetlenül megelőző négyéves időszak átlagos eszközértékének a kiszámításakor a négy megelőző pénzügyi év végén kimutatott ezen értékek egyszerű átlagát kell kiszámítania.</w:t>
      </w:r>
    </w:p>
    <w:p w14:paraId="339A48F9" w14:textId="77777777" w:rsidR="00AA27CC" w:rsidRPr="009C17BC" w:rsidRDefault="00AA27CC" w:rsidP="003336E1">
      <w:pPr>
        <w:spacing w:after="0" w:line="240" w:lineRule="auto"/>
        <w:jc w:val="both"/>
        <w:rPr>
          <w:rFonts w:cstheme="minorHAnsi"/>
        </w:rPr>
      </w:pPr>
    </w:p>
    <w:p w14:paraId="40EE4DCD" w14:textId="77777777" w:rsidR="00AA27CC" w:rsidRPr="009C17BC" w:rsidRDefault="00AA27CC" w:rsidP="003336E1">
      <w:pPr>
        <w:jc w:val="both"/>
        <w:rPr>
          <w:rFonts w:cstheme="minorHAnsi"/>
        </w:rPr>
      </w:pPr>
      <w:r w:rsidRPr="009C17BC">
        <w:rPr>
          <w:rFonts w:cstheme="minorHAnsi"/>
        </w:rPr>
        <w:t>Amennyiben a Bank nem felel meg a fentiek szerinti kritériumnak és/vagy értékhatárnak,  alkalmaznia kell a halasztott kifizetés intézményét.</w:t>
      </w:r>
    </w:p>
    <w:p w14:paraId="112B870B" w14:textId="77777777" w:rsidR="00AA27CC" w:rsidRPr="009C17BC" w:rsidRDefault="00AA27CC" w:rsidP="003336E1">
      <w:pPr>
        <w:jc w:val="both"/>
        <w:rPr>
          <w:rFonts w:cstheme="minorHAnsi"/>
        </w:rPr>
      </w:pPr>
      <w:r w:rsidRPr="009C17BC">
        <w:rPr>
          <w:rFonts w:cstheme="minorHAnsi"/>
        </w:rPr>
        <w:t>A halasztásnál a Bank a következő szempontokat veszi figyelembe:</w:t>
      </w:r>
    </w:p>
    <w:p w14:paraId="4DE8751B" w14:textId="77777777" w:rsidR="00AA27CC" w:rsidRPr="009C17BC" w:rsidRDefault="00AA27CC" w:rsidP="003336E1">
      <w:pPr>
        <w:pStyle w:val="Listaszerbekezds"/>
        <w:numPr>
          <w:ilvl w:val="0"/>
          <w:numId w:val="32"/>
        </w:numPr>
        <w:jc w:val="both"/>
        <w:rPr>
          <w:rFonts w:cstheme="minorHAnsi"/>
        </w:rPr>
      </w:pPr>
      <w:r w:rsidRPr="009C17BC">
        <w:rPr>
          <w:rFonts w:cstheme="minorHAnsi"/>
        </w:rPr>
        <w:t>az azonosított munkavállalók felelősségi és hatáskörei, valamint az általuk elvégzett feladatok</w:t>
      </w:r>
    </w:p>
    <w:p w14:paraId="69E16AEB" w14:textId="77777777" w:rsidR="00AA27CC" w:rsidRPr="009C17BC" w:rsidRDefault="00AA27CC" w:rsidP="003336E1">
      <w:pPr>
        <w:pStyle w:val="Listaszerbekezds"/>
        <w:numPr>
          <w:ilvl w:val="0"/>
          <w:numId w:val="32"/>
        </w:numPr>
        <w:jc w:val="both"/>
        <w:rPr>
          <w:rFonts w:cstheme="minorHAnsi"/>
        </w:rPr>
      </w:pPr>
      <w:r w:rsidRPr="009C17BC">
        <w:rPr>
          <w:rFonts w:cstheme="minorHAnsi"/>
        </w:rPr>
        <w:t>a Bank üzleti ciklusa, valamint a tevékenységei jellege</w:t>
      </w:r>
    </w:p>
    <w:p w14:paraId="07CF989C" w14:textId="77777777" w:rsidR="00AA27CC" w:rsidRPr="009C17BC" w:rsidRDefault="00AA27CC" w:rsidP="003336E1">
      <w:pPr>
        <w:pStyle w:val="Listaszerbekezds"/>
        <w:numPr>
          <w:ilvl w:val="0"/>
          <w:numId w:val="32"/>
        </w:numPr>
        <w:jc w:val="both"/>
        <w:rPr>
          <w:rFonts w:cstheme="minorHAnsi"/>
        </w:rPr>
      </w:pPr>
      <w:r w:rsidRPr="009C17BC">
        <w:rPr>
          <w:rFonts w:cstheme="minorHAnsi"/>
        </w:rPr>
        <w:t>a Bank és az üzleti egység gazdasági tevékenységeinek, valamint teljesítményének ingadozásokra gyakorolt hatás</w:t>
      </w:r>
    </w:p>
    <w:p w14:paraId="421E46FA" w14:textId="77777777" w:rsidR="00AA27CC" w:rsidRPr="009C17BC" w:rsidRDefault="00AA27CC" w:rsidP="003336E1">
      <w:pPr>
        <w:pStyle w:val="Listaszerbekezds"/>
        <w:numPr>
          <w:ilvl w:val="0"/>
          <w:numId w:val="32"/>
        </w:numPr>
        <w:jc w:val="both"/>
        <w:rPr>
          <w:rFonts w:cstheme="minorHAnsi"/>
        </w:rPr>
      </w:pPr>
      <w:r w:rsidRPr="009C17BC">
        <w:rPr>
          <w:rFonts w:cstheme="minorHAnsi"/>
        </w:rPr>
        <w:t>a teljes javadalmazás teljesítményjavadalmazás és alapjavadalmazás közötti jóváhagyott arány, valamint a teljesítményjavadalmazás abszolút összege</w:t>
      </w:r>
    </w:p>
    <w:p w14:paraId="1E95C867" w14:textId="77777777" w:rsidR="00AA27CC" w:rsidRPr="009C17BC" w:rsidRDefault="00AA27CC" w:rsidP="003336E1">
      <w:pPr>
        <w:spacing w:before="100" w:beforeAutospacing="1" w:after="100" w:afterAutospacing="1" w:line="240" w:lineRule="auto"/>
        <w:jc w:val="both"/>
        <w:rPr>
          <w:rFonts w:eastAsia="Times New Roman" w:cstheme="minorHAnsi"/>
          <w:lang w:eastAsia="hu-HU"/>
        </w:rPr>
      </w:pPr>
      <w:r w:rsidRPr="009C17BC">
        <w:rPr>
          <w:rFonts w:eastAsia="Times New Roman" w:cstheme="minorHAnsi"/>
          <w:lang w:eastAsia="hu-HU"/>
        </w:rPr>
        <w:t>A teljesítményjavadalmazás legalább 40 százalékát – ha a</w:t>
      </w:r>
      <w:r w:rsidRPr="009C17BC">
        <w:rPr>
          <w:rFonts w:cstheme="minorHAnsi"/>
        </w:rPr>
        <w:t xml:space="preserve"> teljesítményjavadalmazás meghaladja az alapjavadalmazás 70%-át</w:t>
      </w:r>
      <w:r w:rsidRPr="009C17BC">
        <w:rPr>
          <w:rFonts w:eastAsia="Times New Roman" w:cstheme="minorHAnsi"/>
          <w:lang w:eastAsia="hu-HU"/>
        </w:rPr>
        <w:t>, akkor legalább 60 százalékát - halasztva, az üzleti tevékenység természetétől, kockázataitól és az adott vezető állású személy, munkavállaló tevékenységeitől függően négy évnél rövidebb időtartamú munkaviszony esetén a munkaviszony megszűnésekor, egyébként négy-ötéves időszak alatt kell kifizetni. A halasztási szabályok szerint fizetendő javadalmazás legfeljebb időarányosan illetheti meg a munkavállalót. Halasztási időszak kezdő napja a teljesítményjavadalmazás kifizetéséről történő döntést követő nap.</w:t>
      </w:r>
    </w:p>
    <w:p w14:paraId="7335DA40" w14:textId="77777777" w:rsidR="00AA27CC" w:rsidRPr="009C17BC" w:rsidRDefault="00AA27CC" w:rsidP="003336E1">
      <w:pPr>
        <w:pStyle w:val="Default"/>
        <w:spacing w:line="276" w:lineRule="auto"/>
        <w:jc w:val="both"/>
        <w:rPr>
          <w:rFonts w:asciiTheme="minorHAnsi" w:hAnsiTheme="minorHAnsi" w:cstheme="minorHAnsi"/>
          <w:sz w:val="22"/>
          <w:szCs w:val="22"/>
        </w:rPr>
      </w:pPr>
      <w:r w:rsidRPr="009C17BC">
        <w:rPr>
          <w:rFonts w:asciiTheme="minorHAnsi" w:hAnsiTheme="minorHAnsi" w:cstheme="minorHAnsi"/>
          <w:sz w:val="22"/>
          <w:szCs w:val="22"/>
        </w:rPr>
        <w:t>A Bank 4 éves halasztási időszakot alkalmaz a teljesítményjavadalmazás 40%-os halasztása esetén, 5 éves halasztási időszakot alkalmaz a teljesítményjavadalmazás 60%-os halasztása esetén.</w:t>
      </w:r>
    </w:p>
    <w:p w14:paraId="7402CA59" w14:textId="77777777" w:rsidR="00AA27CC" w:rsidRPr="009C17BC" w:rsidRDefault="00AA27CC" w:rsidP="003336E1">
      <w:pPr>
        <w:pStyle w:val="Default"/>
        <w:spacing w:line="276" w:lineRule="auto"/>
        <w:jc w:val="both"/>
        <w:rPr>
          <w:rFonts w:asciiTheme="minorHAnsi" w:hAnsiTheme="minorHAnsi" w:cstheme="minorHAnsi"/>
          <w:sz w:val="22"/>
          <w:szCs w:val="22"/>
        </w:rPr>
      </w:pPr>
    </w:p>
    <w:p w14:paraId="2A19B756" w14:textId="77777777" w:rsidR="00AA27CC" w:rsidRPr="009C17BC" w:rsidRDefault="00AA27CC" w:rsidP="003336E1">
      <w:pPr>
        <w:pStyle w:val="Default"/>
        <w:spacing w:line="276" w:lineRule="auto"/>
        <w:jc w:val="both"/>
        <w:rPr>
          <w:rFonts w:asciiTheme="minorHAnsi" w:hAnsiTheme="minorHAnsi" w:cstheme="minorHAnsi"/>
          <w:sz w:val="22"/>
          <w:szCs w:val="22"/>
        </w:rPr>
      </w:pPr>
      <w:r w:rsidRPr="009C17BC">
        <w:rPr>
          <w:rFonts w:asciiTheme="minorHAnsi" w:hAnsiTheme="minorHAnsi" w:cstheme="minorHAnsi"/>
          <w:sz w:val="22"/>
          <w:szCs w:val="22"/>
        </w:rPr>
        <w:t>A teljesítményjavadalmazást csökkenteni kell, ha a hitelintézet pénzügyi teljesítménye jelentősen visszaesik vagy negatív, figyelembe véve az aktuális javadalmazást és a csökkentési vagy visszakövetelési szabályokat.</w:t>
      </w:r>
    </w:p>
    <w:p w14:paraId="379B3396" w14:textId="77777777" w:rsidR="00AA27CC" w:rsidRPr="009C17BC" w:rsidRDefault="00AA27CC" w:rsidP="003336E1">
      <w:pPr>
        <w:pStyle w:val="Default"/>
        <w:spacing w:line="276" w:lineRule="auto"/>
        <w:jc w:val="both"/>
        <w:rPr>
          <w:rFonts w:asciiTheme="minorHAnsi" w:hAnsiTheme="minorHAnsi" w:cstheme="minorHAnsi"/>
          <w:sz w:val="22"/>
          <w:szCs w:val="22"/>
        </w:rPr>
      </w:pPr>
    </w:p>
    <w:p w14:paraId="5816D70F" w14:textId="77777777" w:rsidR="00AA27CC" w:rsidRPr="009C17BC" w:rsidRDefault="00AA27CC" w:rsidP="003336E1">
      <w:pPr>
        <w:pStyle w:val="Default"/>
        <w:spacing w:line="276" w:lineRule="auto"/>
        <w:jc w:val="both"/>
        <w:rPr>
          <w:rFonts w:asciiTheme="minorHAnsi" w:hAnsiTheme="minorHAnsi" w:cstheme="minorHAnsi"/>
          <w:sz w:val="22"/>
          <w:szCs w:val="22"/>
        </w:rPr>
      </w:pPr>
      <w:r w:rsidRPr="009C17BC">
        <w:rPr>
          <w:rFonts w:asciiTheme="minorHAnsi" w:hAnsiTheme="minorHAnsi" w:cstheme="minorHAnsi"/>
          <w:sz w:val="22"/>
          <w:szCs w:val="22"/>
        </w:rPr>
        <w:t xml:space="preserve"> A halasztott kifizetés úgy történik , hogy 40%-os halasztás esetén a kifizetendő prémium összegének 60%-a (60%-os halasztás esetén 40%-a) kerül az arra jogosulttá váláskor kifizetésre, a fennmaradó összeg 40%-os halasztás esetén pedig 4 éven belül (60%-os halasztás esetén 5 éven belül) kerül kifizetésre arányosan úgy, hogy a halasztott kifizetés mindig az éves mozgóbér kifizetéssel együtt történik (közgyűlést követő bérszámfejtéskor), a teljesítmény újraértékelése mellett, a halasztott javadalmazás juttatását megelőző utólagos kockázati kiigazítások alapján csökkentve a halasztott teljesítményjavadalmazás egészének vagy egy részének értékét.  </w:t>
      </w:r>
    </w:p>
    <w:p w14:paraId="7F4544EB" w14:textId="77777777" w:rsidR="00AA27CC" w:rsidRPr="009C17BC" w:rsidRDefault="00AA27CC" w:rsidP="003336E1">
      <w:pPr>
        <w:pStyle w:val="Default"/>
        <w:spacing w:line="276" w:lineRule="auto"/>
        <w:jc w:val="both"/>
        <w:rPr>
          <w:rFonts w:asciiTheme="minorHAnsi" w:hAnsiTheme="minorHAnsi" w:cstheme="minorHAnsi"/>
          <w:sz w:val="22"/>
          <w:szCs w:val="22"/>
        </w:rPr>
      </w:pPr>
    </w:p>
    <w:p w14:paraId="1F71EFD9" w14:textId="77777777" w:rsidR="00AA27CC" w:rsidRPr="009C17BC" w:rsidRDefault="00AA27CC" w:rsidP="003336E1">
      <w:pPr>
        <w:pStyle w:val="Default"/>
        <w:spacing w:line="276" w:lineRule="auto"/>
        <w:jc w:val="both"/>
        <w:rPr>
          <w:rFonts w:asciiTheme="minorHAnsi" w:hAnsiTheme="minorHAnsi" w:cstheme="minorHAnsi"/>
          <w:sz w:val="22"/>
          <w:szCs w:val="22"/>
        </w:rPr>
      </w:pPr>
      <w:r w:rsidRPr="009C17BC">
        <w:rPr>
          <w:rFonts w:asciiTheme="minorHAnsi" w:hAnsiTheme="minorHAnsi" w:cstheme="minorHAnsi"/>
          <w:sz w:val="22"/>
          <w:szCs w:val="22"/>
        </w:rPr>
        <w:t>A halasztás és egyes munkavállalók számára instrumentumokban való kifizetésre vonatkozó követelmény nem alkalmazandó arra a munkavállalóra, akinek az éves teljesítményjavadalmazása nem haladja meg a tizenhétmillió-ötszázezer forintot, és a teljesítményjavadalmazás a munkavállaló teljes éves javadalmazásának legfeljebb az egyharmada.</w:t>
      </w:r>
    </w:p>
    <w:p w14:paraId="710B10B3" w14:textId="77777777" w:rsidR="00AA27CC" w:rsidRPr="009C17BC" w:rsidRDefault="00AA27CC" w:rsidP="003336E1">
      <w:pPr>
        <w:pStyle w:val="Default"/>
        <w:spacing w:line="276" w:lineRule="auto"/>
        <w:jc w:val="both"/>
        <w:rPr>
          <w:rStyle w:val="markedcontent"/>
          <w:rFonts w:asciiTheme="minorHAnsi" w:hAnsiTheme="minorHAnsi" w:cstheme="minorHAnsi"/>
          <w:sz w:val="22"/>
          <w:szCs w:val="22"/>
        </w:rPr>
      </w:pPr>
      <w:r w:rsidRPr="009C17BC">
        <w:rPr>
          <w:rStyle w:val="markedcontent"/>
          <w:rFonts w:asciiTheme="minorHAnsi" w:hAnsiTheme="minorHAnsi" w:cstheme="minorHAnsi"/>
          <w:sz w:val="22"/>
          <w:szCs w:val="22"/>
        </w:rPr>
        <w:lastRenderedPageBreak/>
        <w:t>A valamely munkavállalónak fizetett éves teljesítményjavadalmazás összegének és az éves javadalmazás változó és rögzített összetevői közötti aránynak a teljesítményjavadalmazás halasztására és egyes munkavállalók számára instrumentumokban való kifizetésére vonatkozó követelmény alóli mentességek alkalmazása céljából történő megállapítása során a Banknak a következőket kell figyelembe vennie:</w:t>
      </w:r>
    </w:p>
    <w:p w14:paraId="508C9E0F" w14:textId="77777777" w:rsidR="00AA27CC" w:rsidRPr="009C17BC" w:rsidRDefault="00AA27CC" w:rsidP="003336E1">
      <w:pPr>
        <w:pStyle w:val="Default"/>
        <w:numPr>
          <w:ilvl w:val="0"/>
          <w:numId w:val="34"/>
        </w:numPr>
        <w:spacing w:line="276" w:lineRule="auto"/>
        <w:jc w:val="both"/>
        <w:rPr>
          <w:rStyle w:val="markedcontent"/>
          <w:rFonts w:asciiTheme="minorHAnsi" w:hAnsiTheme="minorHAnsi" w:cstheme="minorHAnsi"/>
          <w:sz w:val="22"/>
          <w:szCs w:val="22"/>
        </w:rPr>
      </w:pPr>
      <w:r w:rsidRPr="009C17BC">
        <w:rPr>
          <w:rStyle w:val="markedcontent"/>
          <w:rFonts w:asciiTheme="minorHAnsi" w:hAnsiTheme="minorHAnsi" w:cstheme="minorHAnsi"/>
          <w:sz w:val="22"/>
          <w:szCs w:val="22"/>
        </w:rPr>
        <w:t>Az adott teljesítmény-időszakra megállapított éves teljesítményjavadalmazás (amely időszak megegyezik azzal a pénzügyi évvel, amelynek tekintetében megállapítják, hogy alkalmazható- a mentesség), és valamennyi olyan teljesítmény-időszakra megállapított éves teljesítményjavadalmazás, amelyeknek ebben a pénzügyi évben lett vége, függetlenül ezen teljesítmény-időszakoknak a hosszától.</w:t>
      </w:r>
    </w:p>
    <w:p w14:paraId="3D98892E" w14:textId="77777777" w:rsidR="00AA27CC" w:rsidRPr="009C17BC" w:rsidRDefault="00AA27CC" w:rsidP="003336E1">
      <w:pPr>
        <w:pStyle w:val="Default"/>
        <w:numPr>
          <w:ilvl w:val="0"/>
          <w:numId w:val="34"/>
        </w:numPr>
        <w:spacing w:line="276" w:lineRule="auto"/>
        <w:jc w:val="both"/>
        <w:rPr>
          <w:rStyle w:val="markedcontent"/>
          <w:rFonts w:asciiTheme="minorHAnsi" w:hAnsiTheme="minorHAnsi" w:cstheme="minorHAnsi"/>
          <w:sz w:val="22"/>
          <w:szCs w:val="22"/>
        </w:rPr>
      </w:pPr>
      <w:r w:rsidRPr="009C17BC">
        <w:rPr>
          <w:rStyle w:val="markedcontent"/>
          <w:rFonts w:asciiTheme="minorHAnsi" w:hAnsiTheme="minorHAnsi" w:cstheme="minorHAnsi"/>
          <w:sz w:val="22"/>
          <w:szCs w:val="22"/>
        </w:rPr>
        <w:t>a Bank az MNB ajánlás 113. és 114. pontban meghatározottak szerint a javadalmazás egyes összetevőit kizárhatja a teljesítményjavadalmazás köréből, és alapjavadalmazásként</w:t>
      </w:r>
      <w:r w:rsidRPr="009C17BC">
        <w:rPr>
          <w:rFonts w:asciiTheme="minorHAnsi" w:hAnsiTheme="minorHAnsi" w:cstheme="minorHAnsi"/>
          <w:sz w:val="22"/>
          <w:szCs w:val="22"/>
        </w:rPr>
        <w:t xml:space="preserve"> </w:t>
      </w:r>
      <w:r w:rsidRPr="009C17BC">
        <w:rPr>
          <w:rStyle w:val="markedcontent"/>
          <w:rFonts w:asciiTheme="minorHAnsi" w:hAnsiTheme="minorHAnsi" w:cstheme="minorHAnsi"/>
          <w:sz w:val="22"/>
          <w:szCs w:val="22"/>
        </w:rPr>
        <w:t>kezelheti a számítások során;</w:t>
      </w:r>
    </w:p>
    <w:p w14:paraId="1FD37A7C" w14:textId="77777777" w:rsidR="00AA27CC" w:rsidRPr="009C17BC" w:rsidRDefault="00AA27CC" w:rsidP="003336E1">
      <w:pPr>
        <w:pStyle w:val="Default"/>
        <w:numPr>
          <w:ilvl w:val="0"/>
          <w:numId w:val="34"/>
        </w:numPr>
        <w:spacing w:line="276" w:lineRule="auto"/>
        <w:jc w:val="both"/>
        <w:rPr>
          <w:rStyle w:val="markedcontent"/>
          <w:rFonts w:asciiTheme="minorHAnsi" w:hAnsiTheme="minorHAnsi" w:cstheme="minorHAnsi"/>
          <w:sz w:val="22"/>
          <w:szCs w:val="22"/>
        </w:rPr>
      </w:pPr>
      <w:r w:rsidRPr="009C17BC">
        <w:rPr>
          <w:rStyle w:val="markedcontent"/>
          <w:rFonts w:asciiTheme="minorHAnsi" w:hAnsiTheme="minorHAnsi" w:cstheme="minorHAnsi"/>
          <w:sz w:val="22"/>
          <w:szCs w:val="22"/>
        </w:rPr>
        <w:t>az egyes személyeknek kifizetett összegeknek az alapjavadalmazás és a teljesítményjavadalmazás MNB ajánlásban foglalt fogalom-meghatározásán kell alapulniuk, és a részükre</w:t>
      </w:r>
      <w:r w:rsidRPr="009C17BC">
        <w:rPr>
          <w:rFonts w:asciiTheme="minorHAnsi" w:hAnsiTheme="minorHAnsi" w:cstheme="minorHAnsi"/>
          <w:sz w:val="22"/>
          <w:szCs w:val="22"/>
        </w:rPr>
        <w:t xml:space="preserve"> </w:t>
      </w:r>
      <w:r w:rsidRPr="009C17BC">
        <w:rPr>
          <w:rStyle w:val="markedcontent"/>
          <w:rFonts w:asciiTheme="minorHAnsi" w:hAnsiTheme="minorHAnsi" w:cstheme="minorHAnsi"/>
          <w:sz w:val="22"/>
          <w:szCs w:val="22"/>
        </w:rPr>
        <w:t>megállapított bruttó javadalmazás alapján kell kiszámítani;</w:t>
      </w:r>
    </w:p>
    <w:p w14:paraId="0F0EB98C" w14:textId="77777777" w:rsidR="00AA27CC" w:rsidRPr="009C17BC" w:rsidRDefault="00AA27CC" w:rsidP="003336E1">
      <w:pPr>
        <w:pStyle w:val="Default"/>
        <w:numPr>
          <w:ilvl w:val="0"/>
          <w:numId w:val="34"/>
        </w:numPr>
        <w:spacing w:line="276" w:lineRule="auto"/>
        <w:jc w:val="both"/>
        <w:rPr>
          <w:rStyle w:val="markedcontent"/>
          <w:rFonts w:asciiTheme="minorHAnsi" w:hAnsiTheme="minorHAnsi" w:cstheme="minorHAnsi"/>
          <w:sz w:val="22"/>
          <w:szCs w:val="22"/>
        </w:rPr>
      </w:pPr>
      <w:r w:rsidRPr="009C17BC">
        <w:rPr>
          <w:rStyle w:val="markedcontent"/>
          <w:rFonts w:asciiTheme="minorHAnsi" w:hAnsiTheme="minorHAnsi" w:cstheme="minorHAnsi"/>
          <w:sz w:val="22"/>
          <w:szCs w:val="22"/>
        </w:rPr>
        <w:t xml:space="preserve">a teljesítményjavadalmazásnak a megállapított teljesítményjavadalmazás valamennyi formáját magában kell foglalnia (pl.: megtartási bónusz, végkielégítés, nem kötelező nyugdíjjuttatások); </w:t>
      </w:r>
    </w:p>
    <w:p w14:paraId="42F0E2D0" w14:textId="77777777" w:rsidR="00AA27CC" w:rsidRPr="009C17BC" w:rsidRDefault="00AA27CC" w:rsidP="003336E1">
      <w:pPr>
        <w:pStyle w:val="Default"/>
        <w:numPr>
          <w:ilvl w:val="0"/>
          <w:numId w:val="34"/>
        </w:numPr>
        <w:spacing w:line="276" w:lineRule="auto"/>
        <w:jc w:val="both"/>
        <w:rPr>
          <w:rStyle w:val="markedcontent"/>
          <w:rFonts w:asciiTheme="minorHAnsi" w:hAnsiTheme="minorHAnsi" w:cstheme="minorHAnsi"/>
          <w:sz w:val="22"/>
          <w:szCs w:val="22"/>
        </w:rPr>
      </w:pPr>
      <w:r w:rsidRPr="009C17BC">
        <w:rPr>
          <w:rStyle w:val="markedcontent"/>
          <w:rFonts w:asciiTheme="minorHAnsi" w:hAnsiTheme="minorHAnsi" w:cstheme="minorHAnsi"/>
          <w:sz w:val="22"/>
          <w:szCs w:val="22"/>
        </w:rPr>
        <w:t>a Bank által megállapított javadalmazást kell figyelembe venni;</w:t>
      </w:r>
    </w:p>
    <w:p w14:paraId="2E3A0CD2" w14:textId="77777777" w:rsidR="00AA27CC" w:rsidRPr="009C17BC" w:rsidRDefault="00AA27CC" w:rsidP="003336E1">
      <w:pPr>
        <w:pStyle w:val="Default"/>
        <w:spacing w:line="276" w:lineRule="auto"/>
        <w:jc w:val="both"/>
        <w:rPr>
          <w:rFonts w:asciiTheme="minorHAnsi" w:hAnsiTheme="minorHAnsi" w:cstheme="minorHAnsi"/>
          <w:sz w:val="22"/>
          <w:szCs w:val="22"/>
        </w:rPr>
      </w:pPr>
    </w:p>
    <w:p w14:paraId="040AA42B" w14:textId="6A0F01C4" w:rsidR="00AA27CC" w:rsidRPr="009C17BC" w:rsidRDefault="00AA27CC" w:rsidP="003336E1">
      <w:pPr>
        <w:pStyle w:val="Listaszerbekezds"/>
        <w:numPr>
          <w:ilvl w:val="2"/>
          <w:numId w:val="13"/>
        </w:numPr>
        <w:jc w:val="both"/>
        <w:outlineLvl w:val="0"/>
        <w:rPr>
          <w:rFonts w:cstheme="minorHAnsi"/>
          <w:b/>
        </w:rPr>
      </w:pPr>
      <w:bookmarkStart w:id="104" w:name="_Toc147237483"/>
      <w:r w:rsidRPr="009C17BC">
        <w:rPr>
          <w:rFonts w:cstheme="minorHAnsi"/>
          <w:b/>
        </w:rPr>
        <w:t>Munkaviszony létesítése, munkáltatói jog gyakorlója, munkaviszony megszűntetés esetén járó juttatások</w:t>
      </w:r>
      <w:bookmarkEnd w:id="104"/>
    </w:p>
    <w:p w14:paraId="2748AADD" w14:textId="77777777" w:rsidR="00AA27CC" w:rsidRPr="009C17BC" w:rsidRDefault="00AA27CC" w:rsidP="003336E1">
      <w:pPr>
        <w:pStyle w:val="Listaszerbekezds"/>
        <w:spacing w:line="240" w:lineRule="auto"/>
        <w:jc w:val="both"/>
        <w:rPr>
          <w:rFonts w:cstheme="minorHAnsi"/>
          <w:lang w:eastAsia="hu-HU"/>
        </w:rPr>
      </w:pPr>
    </w:p>
    <w:p w14:paraId="29CF9E54" w14:textId="77777777" w:rsidR="00AA27CC" w:rsidRPr="009C17BC" w:rsidRDefault="00AA27CC" w:rsidP="003336E1">
      <w:pPr>
        <w:pBdr>
          <w:top w:val="nil"/>
          <w:left w:val="nil"/>
          <w:bottom w:val="nil"/>
          <w:right w:val="nil"/>
          <w:between w:val="nil"/>
          <w:bar w:val="nil"/>
        </w:pBdr>
        <w:spacing w:after="0" w:line="240" w:lineRule="auto"/>
        <w:jc w:val="both"/>
        <w:rPr>
          <w:rFonts w:cstheme="minorHAnsi"/>
        </w:rPr>
      </w:pPr>
      <w:r w:rsidRPr="009C17BC">
        <w:rPr>
          <w:rFonts w:cstheme="minorHAnsi"/>
        </w:rPr>
        <w:t xml:space="preserve">Az Ügyvezetők személyét kivéve, a Bank valamennyi alkalmazottja feletti munkáltatói jogok gyakorlását a Vezérigazgató gyakorolja, mely jogkörét az SZMSZ keretei között esetileg átruházhatja. </w:t>
      </w:r>
    </w:p>
    <w:p w14:paraId="1CF9BF47" w14:textId="77777777" w:rsidR="00AA27CC" w:rsidRPr="009C17BC" w:rsidRDefault="00AA27CC" w:rsidP="003336E1">
      <w:pPr>
        <w:jc w:val="both"/>
        <w:rPr>
          <w:rFonts w:cstheme="minorHAnsi"/>
        </w:rPr>
      </w:pPr>
      <w:r w:rsidRPr="009C17BC">
        <w:rPr>
          <w:rFonts w:cstheme="minorHAnsi"/>
        </w:rPr>
        <w:t xml:space="preserve">A Bankkal munkajogi jogviszony írásba foglalt munkaszerződés megkötése útján létesíthető, mely aláírására kizárólag a munkáltatói jogokat gyakorló Vezérigazgató jogosult, ügyvezetők esetén pedig az Igazgatóság testületi döntése alapján annak két tagja jogosult. A munkaszerződés egy példányát a munkavállalónak belépésének napján át kell adni. </w:t>
      </w:r>
    </w:p>
    <w:p w14:paraId="342BDA90" w14:textId="77777777" w:rsidR="00AA27CC" w:rsidRPr="009C17BC" w:rsidRDefault="00AA27CC" w:rsidP="003336E1">
      <w:pPr>
        <w:pStyle w:val="Listaszerbekezds"/>
        <w:spacing w:line="240" w:lineRule="auto"/>
        <w:ind w:left="0"/>
        <w:jc w:val="both"/>
        <w:rPr>
          <w:rFonts w:cstheme="minorHAnsi"/>
        </w:rPr>
      </w:pPr>
      <w:r w:rsidRPr="009C17BC">
        <w:rPr>
          <w:rFonts w:cstheme="minorHAnsi"/>
        </w:rPr>
        <w:t>A végkielégítés mértéke és kifizetése a Munka Törvénykönyvében, valamint az egyéni munkaszerződésekben meghatározottak szerint történik. Az azonosított munkavállalók esetén a végkielégítés mértéke maximum 6 havi távolléti díj.</w:t>
      </w:r>
    </w:p>
    <w:p w14:paraId="116CA301" w14:textId="77777777" w:rsidR="00AA27CC" w:rsidRPr="009C17BC" w:rsidRDefault="00AA27CC" w:rsidP="003336E1">
      <w:pPr>
        <w:pStyle w:val="Listaszerbekezds"/>
        <w:spacing w:line="240" w:lineRule="auto"/>
        <w:ind w:left="0"/>
        <w:jc w:val="both"/>
        <w:rPr>
          <w:rFonts w:cstheme="minorHAnsi"/>
        </w:rPr>
      </w:pPr>
    </w:p>
    <w:p w14:paraId="0FB604EE" w14:textId="7055DD2E" w:rsidR="00AA27CC" w:rsidRPr="009C17BC" w:rsidRDefault="00AA27CC" w:rsidP="003336E1">
      <w:pPr>
        <w:pStyle w:val="Listaszerbekezds"/>
        <w:numPr>
          <w:ilvl w:val="2"/>
          <w:numId w:val="13"/>
        </w:numPr>
        <w:jc w:val="both"/>
        <w:outlineLvl w:val="0"/>
        <w:rPr>
          <w:rFonts w:cstheme="minorHAnsi"/>
          <w:b/>
        </w:rPr>
      </w:pPr>
      <w:bookmarkStart w:id="105" w:name="_Toc147237484"/>
      <w:r w:rsidRPr="009C17BC">
        <w:rPr>
          <w:rFonts w:cstheme="minorHAnsi"/>
          <w:b/>
        </w:rPr>
        <w:t>A javadalmazási Politika közzététele</w:t>
      </w:r>
      <w:bookmarkEnd w:id="105"/>
    </w:p>
    <w:p w14:paraId="54E7CE57" w14:textId="77777777" w:rsidR="00AA27CC" w:rsidRPr="009C17BC" w:rsidRDefault="00AA27CC" w:rsidP="003336E1">
      <w:pPr>
        <w:spacing w:after="240" w:line="240" w:lineRule="auto"/>
        <w:jc w:val="both"/>
        <w:rPr>
          <w:rFonts w:cstheme="minorHAnsi"/>
        </w:rPr>
      </w:pPr>
      <w:r w:rsidRPr="009C17BC">
        <w:rPr>
          <w:rFonts w:cstheme="minorHAnsi"/>
        </w:rPr>
        <w:t xml:space="preserve">A Javadalmazási Politika a Bank minden munkavállalója számára hozzáférhető, saját számítógépes felületén (intranet), vagy a szokásos módon történő közzététel útján.  </w:t>
      </w:r>
    </w:p>
    <w:p w14:paraId="4AB2B78F" w14:textId="76D55CDD" w:rsidR="00AA27CC" w:rsidRPr="009C17BC" w:rsidRDefault="00AA27CC" w:rsidP="003336E1">
      <w:pPr>
        <w:spacing w:after="240" w:line="240" w:lineRule="auto"/>
        <w:jc w:val="both"/>
        <w:rPr>
          <w:rFonts w:cstheme="minorHAnsi"/>
        </w:rPr>
      </w:pPr>
      <w:r w:rsidRPr="009C17BC">
        <w:rPr>
          <w:rFonts w:cstheme="minorHAnsi"/>
        </w:rPr>
        <w:t xml:space="preserve">A Bank évente nyilvánosságra hozza Javadalmazási Politikájának lényeges elemeit, és egyben teljesíti az alap- és teljesítményjavadalomhoz kapcsolódó MNB adatszolgáltatást a vonatkozó jogszabályok alapján. </w:t>
      </w:r>
    </w:p>
    <w:p w14:paraId="4538CB8E" w14:textId="79CEFFBF" w:rsidR="00AA27CC" w:rsidRPr="009C17BC" w:rsidRDefault="00AA27CC" w:rsidP="003336E1">
      <w:pPr>
        <w:pStyle w:val="Listaszerbekezds"/>
        <w:numPr>
          <w:ilvl w:val="2"/>
          <w:numId w:val="13"/>
        </w:numPr>
        <w:jc w:val="both"/>
        <w:outlineLvl w:val="0"/>
        <w:rPr>
          <w:rFonts w:cstheme="minorHAnsi"/>
          <w:b/>
        </w:rPr>
      </w:pPr>
      <w:bookmarkStart w:id="106" w:name="_Toc147237485"/>
      <w:r w:rsidRPr="009C17BC">
        <w:rPr>
          <w:rFonts w:cstheme="minorHAnsi"/>
          <w:b/>
        </w:rPr>
        <w:t>A Javadalmazási Politika ellenőrzése és felülvizsgálata</w:t>
      </w:r>
      <w:bookmarkEnd w:id="106"/>
    </w:p>
    <w:p w14:paraId="2EE5E1ED" w14:textId="77777777" w:rsidR="00AA27CC" w:rsidRPr="009C17BC" w:rsidRDefault="00AA27CC" w:rsidP="003336E1">
      <w:pPr>
        <w:pStyle w:val="Listaszerbekezds"/>
        <w:jc w:val="both"/>
        <w:rPr>
          <w:rFonts w:cstheme="minorHAnsi"/>
          <w:b/>
        </w:rPr>
      </w:pPr>
    </w:p>
    <w:p w14:paraId="441904AF" w14:textId="77777777" w:rsidR="00AA27CC" w:rsidRPr="009C17BC" w:rsidRDefault="00AA27CC" w:rsidP="003336E1">
      <w:pPr>
        <w:pStyle w:val="Listaszerbekezds"/>
        <w:ind w:left="0"/>
        <w:jc w:val="both"/>
        <w:rPr>
          <w:rFonts w:cstheme="minorHAnsi"/>
        </w:rPr>
      </w:pPr>
      <w:r w:rsidRPr="009C17BC">
        <w:rPr>
          <w:rFonts w:cstheme="minorHAnsi"/>
        </w:rPr>
        <w:t>Az Igazgatóság látja el a jogszabályban és utasításban meghatározott, a Javadalmazási Politikával kapcsolatos ellenőrzési és végrehajtási feladatokat, így különösen:</w:t>
      </w:r>
    </w:p>
    <w:p w14:paraId="0ED58146" w14:textId="77777777" w:rsidR="00AA27CC" w:rsidRPr="009C17BC" w:rsidRDefault="00AA27CC" w:rsidP="003336E1">
      <w:pPr>
        <w:pStyle w:val="Listaszerbekezds"/>
        <w:numPr>
          <w:ilvl w:val="0"/>
          <w:numId w:val="25"/>
        </w:numPr>
        <w:spacing w:before="120" w:after="0" w:line="240" w:lineRule="auto"/>
        <w:jc w:val="both"/>
        <w:rPr>
          <w:rFonts w:cstheme="minorHAnsi"/>
        </w:rPr>
      </w:pPr>
      <w:r w:rsidRPr="009C17BC">
        <w:rPr>
          <w:rFonts w:cstheme="minorHAnsi"/>
        </w:rPr>
        <w:lastRenderedPageBreak/>
        <w:t xml:space="preserve">felügyeli javadalmazási rendszer működését, meghatározza teljesítménymutatókat és ellenőrzi azok alakulását, </w:t>
      </w:r>
    </w:p>
    <w:p w14:paraId="2FCD09C9" w14:textId="77777777" w:rsidR="00AA27CC" w:rsidRPr="009C17BC" w:rsidRDefault="00AA27CC" w:rsidP="003336E1">
      <w:pPr>
        <w:pStyle w:val="Listaszerbekezds"/>
        <w:numPr>
          <w:ilvl w:val="0"/>
          <w:numId w:val="25"/>
        </w:numPr>
        <w:spacing w:before="120" w:after="0" w:line="240" w:lineRule="auto"/>
        <w:jc w:val="both"/>
        <w:rPr>
          <w:rFonts w:cstheme="minorHAnsi"/>
        </w:rPr>
      </w:pPr>
      <w:r w:rsidRPr="009C17BC">
        <w:rPr>
          <w:rFonts w:cstheme="minorHAnsi"/>
        </w:rPr>
        <w:t xml:space="preserve">ellenőrzi és biztosítja, hogy a Javadalmazási Politika valóban összhangban van-e az intézmény kockázataival, az biztosítja-e az intézmény stabil tőke és likviditási helyzetét és megfelelően támogatja a stratégia megvalósulását </w:t>
      </w:r>
    </w:p>
    <w:p w14:paraId="67FD3610" w14:textId="77777777" w:rsidR="00AA27CC" w:rsidRPr="009C17BC" w:rsidRDefault="00AA27CC" w:rsidP="003336E1">
      <w:pPr>
        <w:pStyle w:val="Listaszerbekezds"/>
        <w:jc w:val="both"/>
        <w:rPr>
          <w:rFonts w:cstheme="minorHAnsi"/>
        </w:rPr>
      </w:pPr>
    </w:p>
    <w:p w14:paraId="7810000A" w14:textId="77777777" w:rsidR="00AA27CC" w:rsidRPr="009C17BC" w:rsidRDefault="00AA27CC" w:rsidP="003336E1">
      <w:pPr>
        <w:pStyle w:val="Listaszerbekezds"/>
        <w:ind w:left="0"/>
        <w:jc w:val="both"/>
        <w:rPr>
          <w:rFonts w:cstheme="minorHAnsi"/>
        </w:rPr>
      </w:pPr>
      <w:r w:rsidRPr="009C17BC">
        <w:rPr>
          <w:rFonts w:cstheme="minorHAnsi"/>
        </w:rPr>
        <w:t xml:space="preserve"> A Felügyelő Bizottság fogadja el a végleges Javadalmazási Politikát, valamint felel annak felülvizsgálatáért, fenntartásáért. A Javadalmazási Politika kialakításában és felülvizsgálatában külső szakértő vonható be.</w:t>
      </w:r>
    </w:p>
    <w:p w14:paraId="18DE85FB" w14:textId="77777777" w:rsidR="00AA27CC" w:rsidRPr="009C17BC" w:rsidRDefault="00AA27CC" w:rsidP="003336E1">
      <w:pPr>
        <w:pStyle w:val="Listaszerbekezds"/>
        <w:jc w:val="both"/>
        <w:rPr>
          <w:rFonts w:cstheme="minorHAnsi"/>
          <w:b/>
        </w:rPr>
      </w:pPr>
    </w:p>
    <w:p w14:paraId="2BC6BBE3" w14:textId="77777777" w:rsidR="00AA27CC" w:rsidRPr="009C17BC" w:rsidRDefault="00AA27CC" w:rsidP="003336E1">
      <w:pPr>
        <w:pStyle w:val="Listaszerbekezds"/>
        <w:ind w:left="0"/>
        <w:jc w:val="both"/>
        <w:rPr>
          <w:rFonts w:cstheme="minorHAnsi"/>
        </w:rPr>
      </w:pPr>
      <w:r w:rsidRPr="009C17BC">
        <w:rPr>
          <w:rFonts w:cstheme="minorHAnsi"/>
        </w:rPr>
        <w:t xml:space="preserve">A </w:t>
      </w:r>
      <w:r w:rsidRPr="009C17BC">
        <w:rPr>
          <w:rFonts w:cstheme="minorHAnsi"/>
          <w:bCs/>
        </w:rPr>
        <w:t>Humánerőforrás Osztály</w:t>
      </w:r>
      <w:r w:rsidRPr="009C17BC">
        <w:rPr>
          <w:rFonts w:cstheme="minorHAnsi"/>
        </w:rPr>
        <w:t xml:space="preserve"> (továbbiakban: HR Osztály) feladata a javadalmazáshoz kapcsolódó szabályzatok, utasítások előkészítése, karbantartása, a Javadalmazási Politikát elfogadó és végrehajtó testületek – Igazgatóság, Felügyelő Bizottság – munkájának támogatása, azok megfelelő szintű tájékoztatása. További feladata a Javadalmazási Politika alkalmazása kapcsán keletkező dokumentumok (azonosítás, értékelések, nyilvántartások) megőrzése. A HR Osztály feladata a javadalmazási struktúra, a nemi szempontból semleges jelleg szempontjai,  a javadalmazási szintek és ösztönző rendszerek kialakítása, értékelése annak érdekében, hogy ezáltal a javadalmazási politika kellően vonzó legyen a Bank számára szükséges munkavállalói kör kialakításához és megtartásához, illetve annak biztosítása érdekében, hogy a javadalmazási politika a Bank kockázati profiljához igazodjon.</w:t>
      </w:r>
    </w:p>
    <w:p w14:paraId="0222B4CE" w14:textId="77777777" w:rsidR="00AA27CC" w:rsidRPr="009C17BC" w:rsidRDefault="00AA27CC" w:rsidP="003336E1">
      <w:pPr>
        <w:pStyle w:val="Listaszerbekezds"/>
        <w:ind w:left="0"/>
        <w:jc w:val="both"/>
        <w:rPr>
          <w:rFonts w:cstheme="minorHAnsi"/>
        </w:rPr>
      </w:pPr>
    </w:p>
    <w:p w14:paraId="087F054D" w14:textId="77777777" w:rsidR="00AA27CC" w:rsidRPr="009C17BC" w:rsidRDefault="00AA27CC" w:rsidP="003336E1">
      <w:pPr>
        <w:pStyle w:val="Listaszerbekezds"/>
        <w:ind w:left="0"/>
        <w:jc w:val="both"/>
        <w:rPr>
          <w:rFonts w:cstheme="minorHAnsi"/>
        </w:rPr>
      </w:pPr>
      <w:r w:rsidRPr="009C17BC">
        <w:rPr>
          <w:rFonts w:cstheme="minorHAnsi"/>
        </w:rPr>
        <w:t xml:space="preserve">A javadalmazási politika éves felülvizsgálatába dokumentáltan be kell vonni a  releváns belső vállalati funkciókat képviselő szakterületeket (humánerőforrás, jog, kockázatkezelés, </w:t>
      </w:r>
      <w:proofErr w:type="spellStart"/>
      <w:r w:rsidRPr="009C17BC">
        <w:rPr>
          <w:rFonts w:cstheme="minorHAnsi"/>
        </w:rPr>
        <w:t>compliance</w:t>
      </w:r>
      <w:proofErr w:type="spellEnd"/>
      <w:r w:rsidRPr="009C17BC">
        <w:rPr>
          <w:rFonts w:cstheme="minorHAnsi"/>
        </w:rPr>
        <w:t xml:space="preserve">, </w:t>
      </w:r>
      <w:proofErr w:type="spellStart"/>
      <w:r w:rsidRPr="009C17BC">
        <w:rPr>
          <w:rFonts w:cstheme="minorHAnsi"/>
        </w:rPr>
        <w:t>controlling</w:t>
      </w:r>
      <w:proofErr w:type="spellEnd"/>
      <w:r w:rsidRPr="009C17BC">
        <w:rPr>
          <w:rFonts w:cstheme="minorHAnsi"/>
        </w:rPr>
        <w:t>), valamint a Felügyelő Bizottságot, annak érdekében, hogy a javadalmazási politika megfelelően igazodjon a Bank kockázatkezelési stratégiájához és kockázatkezelési keretrendszeréhez. A felülvizsgálat során meg kell vizsgálni, hogy a hatályos Javadalmazási Politika megfelelően érvényesül-e a szervezeten belül, illetve megfelel-e a jogszabályi elvárásoknak és előírásoknak valamint végrehajtásuk következetes összhangban van-e a kifizetések korlátozására vonatkozó követelményekkel, továbbá, hogy az nem jelent-e veszélyt a Bank biztonságos tőkehelyzetének fenntartására.</w:t>
      </w:r>
    </w:p>
    <w:p w14:paraId="0BFB12E0" w14:textId="77777777" w:rsidR="00AA27CC" w:rsidRPr="009C17BC" w:rsidRDefault="00AA27CC" w:rsidP="003336E1">
      <w:pPr>
        <w:pStyle w:val="Listaszerbekezds"/>
        <w:ind w:left="0"/>
        <w:jc w:val="both"/>
        <w:rPr>
          <w:rFonts w:cstheme="minorHAnsi"/>
        </w:rPr>
      </w:pPr>
    </w:p>
    <w:p w14:paraId="3A0FD2D0" w14:textId="77777777" w:rsidR="00AA27CC" w:rsidRPr="009C17BC" w:rsidRDefault="00AA27CC" w:rsidP="003336E1">
      <w:pPr>
        <w:pStyle w:val="Listaszerbekezds"/>
        <w:ind w:left="0"/>
        <w:jc w:val="both"/>
        <w:rPr>
          <w:rFonts w:cstheme="minorHAnsi"/>
        </w:rPr>
      </w:pPr>
      <w:r w:rsidRPr="009C17BC">
        <w:rPr>
          <w:rFonts w:cstheme="minorHAnsi"/>
        </w:rPr>
        <w:t xml:space="preserve">A </w:t>
      </w:r>
      <w:r w:rsidRPr="009C17BC">
        <w:rPr>
          <w:rFonts w:cstheme="minorHAnsi"/>
          <w:b/>
        </w:rPr>
        <w:t>belső kontroll funkció</w:t>
      </w:r>
      <w:r w:rsidRPr="009C17BC">
        <w:rPr>
          <w:rFonts w:cstheme="minorHAnsi"/>
        </w:rPr>
        <w:t xml:space="preserve"> a politika felülvizsgálatakor megvizsgálja a Bank javadalmazási politikájának elfogadási folyamatát, felépítését, megvalósítását, valamint a kockázati profilra gyakorolt hatásait, továbbá azt, hogy a javadalmazási politika felülvizsgálatával összhangban hogyan kezeli ezeket a hatásokat.</w:t>
      </w:r>
    </w:p>
    <w:p w14:paraId="75660703" w14:textId="77777777" w:rsidR="00AA27CC" w:rsidRPr="009C17BC" w:rsidRDefault="00AA27CC" w:rsidP="003336E1">
      <w:pPr>
        <w:pStyle w:val="Listaszerbekezds"/>
        <w:ind w:left="0"/>
        <w:jc w:val="both"/>
        <w:rPr>
          <w:rFonts w:cstheme="minorHAnsi"/>
        </w:rPr>
      </w:pPr>
    </w:p>
    <w:p w14:paraId="66280290" w14:textId="77777777" w:rsidR="00AA27CC" w:rsidRPr="009C17BC" w:rsidRDefault="00AA27CC" w:rsidP="003336E1">
      <w:pPr>
        <w:pStyle w:val="Listaszerbekezds"/>
        <w:ind w:left="0"/>
        <w:jc w:val="both"/>
        <w:rPr>
          <w:rFonts w:cstheme="minorHAnsi"/>
        </w:rPr>
      </w:pPr>
      <w:r w:rsidRPr="009C17BC">
        <w:rPr>
          <w:rFonts w:cstheme="minorHAnsi"/>
        </w:rPr>
        <w:t xml:space="preserve">A </w:t>
      </w:r>
      <w:r w:rsidRPr="009C17BC">
        <w:rPr>
          <w:rFonts w:cstheme="minorHAnsi"/>
          <w:b/>
        </w:rPr>
        <w:t xml:space="preserve">Kockázatkezelés </w:t>
      </w:r>
      <w:r w:rsidRPr="009C17BC">
        <w:rPr>
          <w:rFonts w:cstheme="minorHAnsi"/>
        </w:rPr>
        <w:t>feladata, hogy segítséget és információt nyújtson a megfelelő kockázattal kiigazított (beleértve az utólagos kiigazításokat) teljesítménymérők meghatározásához, illetve azok értékeléséhez</w:t>
      </w:r>
      <w:r w:rsidRPr="009C17BC">
        <w:rPr>
          <w:rFonts w:cstheme="minorHAnsi"/>
          <w:color w:val="000000"/>
        </w:rPr>
        <w:t>, hogy milyen hatással van a teljesítményjavadalmazási struktúra az intézmény kockázati profiljára és kultúrájára.</w:t>
      </w:r>
      <w:r w:rsidRPr="009C17BC">
        <w:rPr>
          <w:rFonts w:cstheme="minorHAnsi"/>
        </w:rPr>
        <w:t xml:space="preserve"> Kiszámítsa és jóváhagyja a kockázatokkal kiigazított adatokat, valamint részt vegyen a Felügyelő Bizottság javadalmazással kapcsolatban döntéseket hozó ülésein.</w:t>
      </w:r>
    </w:p>
    <w:p w14:paraId="27F72D8C" w14:textId="77777777" w:rsidR="00AA27CC" w:rsidRPr="009C17BC" w:rsidRDefault="00AA27CC" w:rsidP="003336E1">
      <w:pPr>
        <w:pStyle w:val="Listaszerbekezds"/>
        <w:ind w:left="0"/>
        <w:jc w:val="both"/>
        <w:rPr>
          <w:rFonts w:cstheme="minorHAnsi"/>
        </w:rPr>
      </w:pPr>
    </w:p>
    <w:p w14:paraId="509B2887" w14:textId="77777777" w:rsidR="00AA27CC" w:rsidRPr="009C17BC" w:rsidRDefault="00AA27CC" w:rsidP="003336E1">
      <w:pPr>
        <w:pStyle w:val="Listaszerbekezds"/>
        <w:ind w:left="0"/>
        <w:jc w:val="both"/>
        <w:rPr>
          <w:rFonts w:cstheme="minorHAnsi"/>
        </w:rPr>
      </w:pPr>
      <w:r w:rsidRPr="009C17BC">
        <w:rPr>
          <w:rFonts w:cstheme="minorHAnsi"/>
        </w:rPr>
        <w:t xml:space="preserve">A </w:t>
      </w:r>
      <w:proofErr w:type="spellStart"/>
      <w:r w:rsidRPr="009C17BC">
        <w:rPr>
          <w:rFonts w:cstheme="minorHAnsi"/>
          <w:b/>
        </w:rPr>
        <w:t>Compliance</w:t>
      </w:r>
      <w:proofErr w:type="spellEnd"/>
      <w:r w:rsidRPr="009C17BC">
        <w:rPr>
          <w:rFonts w:cstheme="minorHAnsi"/>
        </w:rPr>
        <w:t xml:space="preserve"> feladata - a jogi szakterület bevonásával - , hogy elemezze a Javadalmazási Politika milyen hatást gyakorol a Bank jogszabályoknak, belső szabályzatoknak, politikáknak, valamint kockázati kultúrának való megfelelésére, és jelentse az ezektől való eltérésben rejlő valamennyi kockázatot az Igazgatóság és a Felügyelő Bizottság tagjai felé.</w:t>
      </w:r>
    </w:p>
    <w:p w14:paraId="6B6EA69F" w14:textId="77777777" w:rsidR="00AA27CC" w:rsidRPr="009C17BC" w:rsidRDefault="00AA27CC" w:rsidP="003336E1">
      <w:pPr>
        <w:pStyle w:val="Listaszerbekezds"/>
        <w:ind w:left="0"/>
        <w:jc w:val="both"/>
        <w:rPr>
          <w:rFonts w:cstheme="minorHAnsi"/>
        </w:rPr>
      </w:pPr>
      <w:r w:rsidRPr="009C17BC">
        <w:rPr>
          <w:rFonts w:cstheme="minorHAnsi"/>
        </w:rPr>
        <w:t xml:space="preserve">A </w:t>
      </w:r>
      <w:proofErr w:type="spellStart"/>
      <w:r w:rsidRPr="009C17BC">
        <w:rPr>
          <w:rFonts w:cstheme="minorHAnsi"/>
        </w:rPr>
        <w:t>Compliance</w:t>
      </w:r>
      <w:proofErr w:type="spellEnd"/>
      <w:r w:rsidRPr="009C17BC">
        <w:rPr>
          <w:rFonts w:cstheme="minorHAnsi"/>
        </w:rPr>
        <w:t xml:space="preserve"> által tett megállapításokat a Felügyelő Bizottság figyelembe kell vennie a javadalmazási politika jóváhagyása, felülvizsgálata és felügyelete során.</w:t>
      </w:r>
    </w:p>
    <w:p w14:paraId="0EFB0AF7" w14:textId="77777777" w:rsidR="00AA27CC" w:rsidRPr="009C17BC" w:rsidRDefault="00AA27CC" w:rsidP="003336E1">
      <w:pPr>
        <w:pStyle w:val="Listaszerbekezds"/>
        <w:ind w:left="0"/>
        <w:jc w:val="both"/>
        <w:rPr>
          <w:rFonts w:cstheme="minorHAnsi"/>
        </w:rPr>
      </w:pPr>
    </w:p>
    <w:p w14:paraId="4FE05A1B" w14:textId="77777777" w:rsidR="00AA27CC" w:rsidRPr="009C17BC" w:rsidRDefault="00AA27CC" w:rsidP="003336E1">
      <w:pPr>
        <w:pStyle w:val="Listaszerbekezds"/>
        <w:ind w:left="0"/>
        <w:jc w:val="both"/>
        <w:rPr>
          <w:rFonts w:cstheme="minorHAnsi"/>
        </w:rPr>
      </w:pPr>
      <w:r w:rsidRPr="009C17BC">
        <w:rPr>
          <w:rFonts w:cstheme="minorHAnsi"/>
        </w:rPr>
        <w:lastRenderedPageBreak/>
        <w:t xml:space="preserve">A </w:t>
      </w:r>
      <w:r w:rsidRPr="009C17BC">
        <w:rPr>
          <w:rFonts w:cstheme="minorHAnsi"/>
          <w:b/>
        </w:rPr>
        <w:t>Kontrolling és Tőkemenedzsment Szakterület</w:t>
      </w:r>
      <w:r w:rsidRPr="009C17BC">
        <w:rPr>
          <w:rFonts w:cstheme="minorHAnsi"/>
        </w:rPr>
        <w:t xml:space="preserve"> (továbbiakban: KTSZ) feladata, hogy az Ügyvezetés iránymutatása alapján, a Kockázatkezelési Szakterülettel egyeztetve, február utolsó munkanapjáig meghatározza azokat az objektív mutatókat, amelyek a tárgyévi értékelés alapjául szolgálnak majd.  </w:t>
      </w:r>
    </w:p>
    <w:p w14:paraId="6CED965F" w14:textId="77777777" w:rsidR="00AA27CC" w:rsidRPr="009C17BC" w:rsidRDefault="00AA27CC" w:rsidP="003336E1">
      <w:pPr>
        <w:pStyle w:val="Listaszerbekezds"/>
        <w:ind w:left="0"/>
        <w:jc w:val="both"/>
        <w:rPr>
          <w:rFonts w:cstheme="minorHAnsi"/>
        </w:rPr>
      </w:pPr>
    </w:p>
    <w:p w14:paraId="71AEAF2C" w14:textId="77777777" w:rsidR="00AA27CC" w:rsidRPr="009C17BC" w:rsidRDefault="00AA27CC" w:rsidP="003336E1">
      <w:pPr>
        <w:pStyle w:val="Listaszerbekezds"/>
        <w:ind w:left="0"/>
        <w:jc w:val="both"/>
        <w:rPr>
          <w:rFonts w:cstheme="minorHAnsi"/>
          <w:u w:val="single"/>
        </w:rPr>
      </w:pPr>
      <w:r w:rsidRPr="009C17BC">
        <w:rPr>
          <w:rFonts w:cstheme="minorHAnsi"/>
        </w:rPr>
        <w:t xml:space="preserve">A KTSZ további feladata, hogy az első negyedév utolsó napján ismert, előző évi előzetes, nem auditált számok alapján kiszámítsa az előző évre érvényes teljesítmény értékelési és mozgóbérezési rendszerben alkalmazott mutatók aktuális értékét. </w:t>
      </w:r>
    </w:p>
    <w:p w14:paraId="55832424" w14:textId="77777777" w:rsidR="00AA27CC" w:rsidRPr="009C17BC" w:rsidRDefault="00AA27CC" w:rsidP="003336E1">
      <w:pPr>
        <w:pStyle w:val="Listaszerbekezds"/>
        <w:ind w:left="0"/>
        <w:jc w:val="both"/>
        <w:rPr>
          <w:rFonts w:cstheme="minorHAnsi"/>
        </w:rPr>
      </w:pPr>
    </w:p>
    <w:p w14:paraId="230E6E58" w14:textId="77777777" w:rsidR="00AA27CC" w:rsidRPr="009C17BC" w:rsidRDefault="00AA27CC" w:rsidP="003336E1">
      <w:pPr>
        <w:pStyle w:val="Listaszerbekezds"/>
        <w:ind w:left="0"/>
        <w:jc w:val="both"/>
        <w:rPr>
          <w:rFonts w:cstheme="minorHAnsi"/>
        </w:rPr>
      </w:pPr>
      <w:r w:rsidRPr="009C17BC">
        <w:rPr>
          <w:rFonts w:cstheme="minorHAnsi"/>
        </w:rPr>
        <w:t xml:space="preserve">A </w:t>
      </w:r>
      <w:r w:rsidRPr="009C17BC">
        <w:rPr>
          <w:rFonts w:cstheme="minorHAnsi"/>
          <w:b/>
        </w:rPr>
        <w:t xml:space="preserve">Kockázatkezelésnek és a </w:t>
      </w:r>
      <w:proofErr w:type="spellStart"/>
      <w:r w:rsidRPr="009C17BC">
        <w:rPr>
          <w:rFonts w:cstheme="minorHAnsi"/>
          <w:b/>
        </w:rPr>
        <w:t>Compliance-nek</w:t>
      </w:r>
      <w:proofErr w:type="spellEnd"/>
      <w:r w:rsidRPr="009C17BC">
        <w:rPr>
          <w:rFonts w:cstheme="minorHAnsi"/>
        </w:rPr>
        <w:t xml:space="preserve"> részt kell venniük a teljesítményjavadalmazási keretek és az azokhoz kapcsolódó kritériumok meghatározásában valamint a javadalmazások megállapításában. Jelezniük kell az Igazgatóság felé amennyiben a teljesítményjavadalmazási kereteknek, a hozzájuk kapcsolódó kritériumoknak vagy magának a javadalmazásnak negatív hatása lehet a munkavállalók viselkedésére vagy a folytatott üzleti tevékenység kockázatosságára.</w:t>
      </w:r>
    </w:p>
    <w:p w14:paraId="7BABE3B5" w14:textId="77777777" w:rsidR="00AA27CC" w:rsidRPr="009C17BC" w:rsidRDefault="00AA27CC" w:rsidP="003336E1">
      <w:pPr>
        <w:pStyle w:val="Listaszerbekezds"/>
        <w:ind w:left="0"/>
        <w:jc w:val="both"/>
        <w:rPr>
          <w:rFonts w:cstheme="minorHAnsi"/>
        </w:rPr>
      </w:pPr>
    </w:p>
    <w:p w14:paraId="0C4B8A5F" w14:textId="77777777" w:rsidR="00AA27CC" w:rsidRPr="009C17BC" w:rsidRDefault="00AA27CC" w:rsidP="003336E1">
      <w:pPr>
        <w:pStyle w:val="Listaszerbekezds"/>
        <w:ind w:left="0"/>
        <w:jc w:val="both"/>
        <w:rPr>
          <w:rFonts w:cstheme="minorHAnsi"/>
        </w:rPr>
      </w:pPr>
      <w:r w:rsidRPr="009C17BC">
        <w:rPr>
          <w:rFonts w:cstheme="minorHAnsi"/>
        </w:rPr>
        <w:t xml:space="preserve">A Bank a javadalmazási politikáit és gyakorlatait legalább évente egy központi és független </w:t>
      </w:r>
      <w:r w:rsidRPr="009C17BC">
        <w:rPr>
          <w:rFonts w:cstheme="minorHAnsi"/>
          <w:b/>
        </w:rPr>
        <w:t>belső felülvizsgálat</w:t>
      </w:r>
      <w:r w:rsidRPr="009C17BC">
        <w:rPr>
          <w:rFonts w:cstheme="minorHAnsi"/>
        </w:rPr>
        <w:t>nak veti alá. A javadalmazási politika vizsgálatot a független belső ellenőrzésnek kell lefolytatnia. A felülvizsgálat magában foglalja annak elemzését, hogy a javadalmazási politika nemi szempontból semleges-e. A felülvizsgálat keretében a Bank nyomon követi a nemek közötti bérkülönbséget a következő bontásban:</w:t>
      </w:r>
    </w:p>
    <w:p w14:paraId="49081C7A" w14:textId="77777777" w:rsidR="00AA27CC" w:rsidRPr="009C17BC" w:rsidRDefault="00AA27CC" w:rsidP="003336E1">
      <w:pPr>
        <w:pStyle w:val="Listaszerbekezds"/>
        <w:ind w:left="0"/>
        <w:jc w:val="both"/>
        <w:rPr>
          <w:rFonts w:cstheme="minorHAnsi"/>
        </w:rPr>
      </w:pPr>
      <w:r w:rsidRPr="009C17BC">
        <w:rPr>
          <w:rFonts w:cstheme="minorHAnsi"/>
        </w:rPr>
        <w:t>a) azonosított munkavállalók, a vezető testületek tagjai nélkül;</w:t>
      </w:r>
    </w:p>
    <w:p w14:paraId="5739567A" w14:textId="77777777" w:rsidR="00AA27CC" w:rsidRPr="009C17BC" w:rsidRDefault="00AA27CC" w:rsidP="003336E1">
      <w:pPr>
        <w:pStyle w:val="Listaszerbekezds"/>
        <w:ind w:left="0"/>
        <w:jc w:val="both"/>
        <w:rPr>
          <w:rFonts w:cstheme="minorHAnsi"/>
        </w:rPr>
      </w:pPr>
      <w:r w:rsidRPr="009C17BC">
        <w:rPr>
          <w:rFonts w:cstheme="minorHAnsi"/>
        </w:rPr>
        <w:t>b) az irányítási jogkörrel rendelkező vezető testület tagjai;</w:t>
      </w:r>
    </w:p>
    <w:p w14:paraId="4DB75E36" w14:textId="77777777" w:rsidR="00AA27CC" w:rsidRPr="009C17BC" w:rsidRDefault="00AA27CC" w:rsidP="003336E1">
      <w:pPr>
        <w:pStyle w:val="Listaszerbekezds"/>
        <w:ind w:left="0"/>
        <w:jc w:val="both"/>
        <w:rPr>
          <w:rFonts w:cstheme="minorHAnsi"/>
        </w:rPr>
      </w:pPr>
      <w:r w:rsidRPr="009C17BC">
        <w:rPr>
          <w:rFonts w:cstheme="minorHAnsi"/>
        </w:rPr>
        <w:t>c) a felügyeleti jogkörrel rendelkező vezető testület tagjai; és</w:t>
      </w:r>
    </w:p>
    <w:p w14:paraId="0EA619EF" w14:textId="77777777" w:rsidR="00AA27CC" w:rsidRPr="009C17BC" w:rsidRDefault="00AA27CC" w:rsidP="003336E1">
      <w:pPr>
        <w:pStyle w:val="Listaszerbekezds"/>
        <w:ind w:left="0"/>
        <w:jc w:val="both"/>
        <w:rPr>
          <w:rFonts w:cstheme="minorHAnsi"/>
        </w:rPr>
      </w:pPr>
      <w:r w:rsidRPr="009C17BC">
        <w:rPr>
          <w:rFonts w:cstheme="minorHAnsi"/>
        </w:rPr>
        <w:t>d) egyéb munkavállalók.</w:t>
      </w:r>
    </w:p>
    <w:p w14:paraId="153D90E9" w14:textId="77777777" w:rsidR="00AA27CC" w:rsidRPr="009C17BC" w:rsidRDefault="00AA27CC" w:rsidP="003336E1">
      <w:pPr>
        <w:jc w:val="both"/>
        <w:rPr>
          <w:rFonts w:cstheme="minorHAnsi"/>
        </w:rPr>
      </w:pPr>
      <w:r w:rsidRPr="009C17BC">
        <w:rPr>
          <w:rFonts w:cstheme="minorHAnsi"/>
        </w:rPr>
        <w:t>A Bank, amennyiben jelentős különbségek állnak fenn a férfi és női munkavállalók átlagos fizetése, illetve a vezető testület férfi és női tagjainak átlagos fizetése között, az intézmény dokumentálja ennek fő okait, és megfelelő intézkedéseket hozzon a különbség kiküszöbölésére, vagy képes legyen annak bizonyítására, hogy a különbség oka nem az, hogy a javadalmazási politika nemi szempontból nem semleges.</w:t>
      </w:r>
    </w:p>
    <w:p w14:paraId="75ECFF20" w14:textId="77777777" w:rsidR="00AA27CC" w:rsidRPr="009C17BC" w:rsidRDefault="00AA27CC" w:rsidP="003336E1">
      <w:pPr>
        <w:pStyle w:val="Listaszerbekezds"/>
        <w:ind w:left="0"/>
        <w:jc w:val="both"/>
        <w:rPr>
          <w:rFonts w:cstheme="minorHAnsi"/>
        </w:rPr>
      </w:pPr>
      <w:r w:rsidRPr="009C17BC">
        <w:rPr>
          <w:rFonts w:cstheme="minorHAnsi"/>
        </w:rPr>
        <w:t xml:space="preserve">A fentieken túl a Belső Ellenőrzés évente ellenőrzi a javadalmazási politika végrehajtását, a Hpt. vonatkozó szabályainak való teljes megfelelés érdekében, </w:t>
      </w:r>
      <w:proofErr w:type="spellStart"/>
      <w:r w:rsidRPr="009C17BC">
        <w:rPr>
          <w:rFonts w:cstheme="minorHAnsi"/>
        </w:rPr>
        <w:t>esetenként</w:t>
      </w:r>
      <w:proofErr w:type="spellEnd"/>
      <w:r w:rsidRPr="009C17BC">
        <w:rPr>
          <w:rFonts w:cstheme="minorHAnsi"/>
        </w:rPr>
        <w:t xml:space="preserve"> külső szakértő igénybevételével. </w:t>
      </w:r>
    </w:p>
    <w:p w14:paraId="20046F94" w14:textId="77777777" w:rsidR="00AA27CC" w:rsidRPr="009C17BC" w:rsidRDefault="00AA27CC" w:rsidP="003336E1">
      <w:pPr>
        <w:pStyle w:val="Listaszerbekezds"/>
        <w:ind w:left="0"/>
        <w:jc w:val="both"/>
        <w:rPr>
          <w:rFonts w:cstheme="minorHAnsi"/>
        </w:rPr>
      </w:pPr>
      <w:r w:rsidRPr="009C17BC">
        <w:rPr>
          <w:rFonts w:cstheme="minorHAnsi"/>
        </w:rPr>
        <w:t>A Bank javadalmazási politika felülvizsgálatának részeként értékeli, hogy a javadalmazási politika, a gyakorlatok és folyamatok</w:t>
      </w:r>
    </w:p>
    <w:p w14:paraId="65394B78" w14:textId="77777777" w:rsidR="00AA27CC" w:rsidRPr="009C17BC" w:rsidRDefault="00AA27CC" w:rsidP="003336E1">
      <w:pPr>
        <w:pStyle w:val="Listaszerbekezds"/>
        <w:numPr>
          <w:ilvl w:val="0"/>
          <w:numId w:val="36"/>
        </w:numPr>
        <w:ind w:left="426" w:hanging="246"/>
        <w:jc w:val="both"/>
        <w:rPr>
          <w:rFonts w:cstheme="minorHAnsi"/>
        </w:rPr>
      </w:pPr>
      <w:r w:rsidRPr="009C17BC">
        <w:rPr>
          <w:rFonts w:cstheme="minorHAnsi"/>
        </w:rPr>
        <w:t>a rendeltetésüknek megfelelően működnek (így különösen megfelelnek a jóváhagyott politikáknak, eljárásoknak és belső szabályoknak, a javadalmazások kifizetése megfelelő és összhangban van az üzleti stratégiával, valamint megfelelően tükrözik az intézmény kockázati profilját, hosszú távú célkitűzéseit és egyéb céljait);</w:t>
      </w:r>
    </w:p>
    <w:p w14:paraId="6211181A" w14:textId="77777777" w:rsidR="00AA27CC" w:rsidRPr="009C17BC" w:rsidRDefault="00AA27CC" w:rsidP="003336E1">
      <w:pPr>
        <w:pStyle w:val="Listaszerbekezds"/>
        <w:numPr>
          <w:ilvl w:val="0"/>
          <w:numId w:val="37"/>
        </w:numPr>
        <w:ind w:left="426" w:hanging="246"/>
        <w:jc w:val="both"/>
        <w:rPr>
          <w:rFonts w:cstheme="minorHAnsi"/>
        </w:rPr>
      </w:pPr>
      <w:r w:rsidRPr="009C17BC">
        <w:rPr>
          <w:rFonts w:cstheme="minorHAnsi"/>
        </w:rPr>
        <w:t>megfelelnek a hazai és nemzetközi jogszabályoknak, elveknek és sztenderdeknek;</w:t>
      </w:r>
    </w:p>
    <w:p w14:paraId="44D691A9" w14:textId="77777777" w:rsidR="00AA27CC" w:rsidRPr="009C17BC" w:rsidRDefault="00AA27CC" w:rsidP="003336E1">
      <w:pPr>
        <w:pStyle w:val="Listaszerbekezds"/>
        <w:numPr>
          <w:ilvl w:val="0"/>
          <w:numId w:val="37"/>
        </w:numPr>
        <w:ind w:left="426" w:hanging="246"/>
        <w:jc w:val="both"/>
        <w:rPr>
          <w:rFonts w:cstheme="minorHAnsi"/>
        </w:rPr>
      </w:pPr>
      <w:r w:rsidRPr="009C17BC">
        <w:rPr>
          <w:rFonts w:cstheme="minorHAnsi"/>
        </w:rPr>
        <w:t>végrehajtásuk következetes, összhangban vannak a kifizetések korlátozására vonatkozó, a Hpt. 94. és 96/A. §-</w:t>
      </w:r>
      <w:proofErr w:type="spellStart"/>
      <w:r w:rsidRPr="009C17BC">
        <w:rPr>
          <w:rFonts w:cstheme="minorHAnsi"/>
        </w:rPr>
        <w:t>ában</w:t>
      </w:r>
      <w:proofErr w:type="spellEnd"/>
      <w:r w:rsidRPr="009C17BC">
        <w:rPr>
          <w:rFonts w:cstheme="minorHAnsi"/>
        </w:rPr>
        <w:t xml:space="preserve">, illetve a </w:t>
      </w:r>
      <w:proofErr w:type="spellStart"/>
      <w:r w:rsidRPr="009C17BC">
        <w:rPr>
          <w:rFonts w:cstheme="minorHAnsi"/>
        </w:rPr>
        <w:t>Szantv</w:t>
      </w:r>
      <w:proofErr w:type="spellEnd"/>
      <w:r w:rsidRPr="009C17BC">
        <w:rPr>
          <w:rFonts w:cstheme="minorHAnsi"/>
        </w:rPr>
        <w:t>. 15/A. §-</w:t>
      </w:r>
      <w:proofErr w:type="spellStart"/>
      <w:r w:rsidRPr="009C17BC">
        <w:rPr>
          <w:rFonts w:cstheme="minorHAnsi"/>
        </w:rPr>
        <w:t>ában</w:t>
      </w:r>
      <w:proofErr w:type="spellEnd"/>
      <w:r w:rsidRPr="009C17BC">
        <w:rPr>
          <w:rFonts w:cstheme="minorHAnsi"/>
        </w:rPr>
        <w:t xml:space="preserve"> meghatározott követelményekkel, valamint nem korlátozzák az intézményt abban, hogy képes legyen a megbízható tőkehelyzet fenntartására vagy helyreállítására.</w:t>
      </w:r>
    </w:p>
    <w:p w14:paraId="769ECFAA" w14:textId="77777777" w:rsidR="00AA27CC" w:rsidRPr="009C17BC" w:rsidRDefault="00AA27CC" w:rsidP="003336E1">
      <w:pPr>
        <w:jc w:val="both"/>
        <w:rPr>
          <w:rFonts w:cstheme="minorHAnsi"/>
        </w:rPr>
      </w:pPr>
      <w:r w:rsidRPr="009C17BC">
        <w:rPr>
          <w:rFonts w:cstheme="minorHAnsi"/>
        </w:rPr>
        <w:t>A Bank amennyiben a felülvizsgálat során megállapításra kerül, hogy a javadalmazási politika nem a célkitűzéseknek megfelelően, vagy nem az előírások szerint működik, a Felügyelő Bizottság intézkedési tervet dolgozz ki a megfelelő működés helyreállítására, biztosítsa a terv jóváhagyását és a megfelelő ütemezés szerinti végrehajtását.</w:t>
      </w:r>
    </w:p>
    <w:p w14:paraId="01A7DF7B" w14:textId="19EF826F" w:rsidR="00AA27CC" w:rsidRPr="009C17BC" w:rsidRDefault="00AA27CC" w:rsidP="003336E1">
      <w:pPr>
        <w:jc w:val="both"/>
        <w:rPr>
          <w:rFonts w:cstheme="minorHAnsi"/>
        </w:rPr>
      </w:pPr>
      <w:r w:rsidRPr="009C17BC">
        <w:rPr>
          <w:rFonts w:cstheme="minorHAnsi"/>
        </w:rPr>
        <w:lastRenderedPageBreak/>
        <w:t>Az elvégzett felülvizsgálatot, valamint a megállapított esetleges hiányosságok helyreállítására szolgáló intézkedések eredményeit vagy írásbeli jelentéseket a Felügyelő Bizottság ülésein készült jegyzőkönyvek formájában dokumentálja, és azokat az Igazgatóság, valamint az érintett szakterületek részére bocsátja.</w:t>
      </w:r>
    </w:p>
    <w:p w14:paraId="01AF585C" w14:textId="77777777" w:rsidR="00565E0B" w:rsidRPr="009C17BC" w:rsidRDefault="00AA27CC" w:rsidP="003336E1">
      <w:pPr>
        <w:pStyle w:val="Listaszerbekezds"/>
        <w:ind w:left="0"/>
        <w:jc w:val="both"/>
        <w:rPr>
          <w:rFonts w:cstheme="minorHAnsi"/>
        </w:rPr>
      </w:pPr>
      <w:r w:rsidRPr="009C17BC">
        <w:rPr>
          <w:rFonts w:cstheme="minorHAnsi"/>
        </w:rPr>
        <w:t xml:space="preserve">A Bank a Javadalmazási Politikát alátámasztó előterjesztéseket és háttéranyagokat 8 évig megőrzi. </w:t>
      </w:r>
      <w:bookmarkStart w:id="107" w:name="_Toc147237486"/>
      <w:bookmarkStart w:id="108" w:name="_Toc126745254"/>
    </w:p>
    <w:p w14:paraId="4F172188" w14:textId="77777777" w:rsidR="00565E0B" w:rsidRPr="009C17BC" w:rsidRDefault="00565E0B" w:rsidP="003336E1">
      <w:pPr>
        <w:pStyle w:val="Listaszerbekezds"/>
        <w:ind w:left="0"/>
        <w:jc w:val="both"/>
        <w:rPr>
          <w:rFonts w:cstheme="minorHAnsi"/>
        </w:rPr>
      </w:pPr>
    </w:p>
    <w:p w14:paraId="3F2A975B" w14:textId="605A7017" w:rsidR="00655B5E" w:rsidRPr="009C17BC" w:rsidRDefault="00655B5E" w:rsidP="00372279">
      <w:pPr>
        <w:pStyle w:val="Listaszerbekezds"/>
        <w:numPr>
          <w:ilvl w:val="0"/>
          <w:numId w:val="13"/>
        </w:numPr>
        <w:jc w:val="both"/>
        <w:rPr>
          <w:rFonts w:cstheme="minorHAnsi"/>
          <w:b/>
          <w:bCs/>
          <w:color w:val="1F4E79" w:themeColor="accent1" w:themeShade="80"/>
        </w:rPr>
      </w:pPr>
      <w:r w:rsidRPr="009C17BC">
        <w:rPr>
          <w:rFonts w:cstheme="minorHAnsi"/>
          <w:b/>
          <w:bCs/>
          <w:color w:val="1F4E79" w:themeColor="accent1" w:themeShade="80"/>
        </w:rPr>
        <w:t>Mellékletek</w:t>
      </w:r>
      <w:bookmarkEnd w:id="107"/>
    </w:p>
    <w:p w14:paraId="7A1D9835" w14:textId="77777777" w:rsidR="00DF5F18" w:rsidRPr="009C17BC" w:rsidRDefault="00DF5F18" w:rsidP="00DF5F18">
      <w:pPr>
        <w:pStyle w:val="Listaszerbekezds"/>
        <w:ind w:left="1776"/>
        <w:jc w:val="both"/>
        <w:rPr>
          <w:rFonts w:cstheme="minorHAnsi"/>
          <w:b/>
          <w:bCs/>
          <w:color w:val="1F4E79" w:themeColor="accent1" w:themeShade="80"/>
        </w:rPr>
      </w:pPr>
    </w:p>
    <w:bookmarkEnd w:id="108"/>
    <w:p w14:paraId="2D737562" w14:textId="77777777" w:rsidR="00D134F6" w:rsidRPr="009C17BC" w:rsidRDefault="00D134F6" w:rsidP="003336E1">
      <w:pPr>
        <w:pStyle w:val="Listaszerbekezds"/>
        <w:numPr>
          <w:ilvl w:val="0"/>
          <w:numId w:val="29"/>
        </w:numPr>
        <w:tabs>
          <w:tab w:val="left" w:pos="851"/>
        </w:tabs>
        <w:ind w:left="567" w:hanging="283"/>
        <w:jc w:val="both"/>
        <w:rPr>
          <w:rFonts w:cstheme="minorHAnsi"/>
        </w:rPr>
      </w:pPr>
      <w:r w:rsidRPr="009C17BC">
        <w:rPr>
          <w:rFonts w:cstheme="minorHAnsi"/>
        </w:rPr>
        <w:t xml:space="preserve">1.sz. </w:t>
      </w:r>
      <w:r w:rsidRPr="009C17BC">
        <w:rPr>
          <w:rFonts w:cstheme="minorHAnsi"/>
        </w:rPr>
        <w:tab/>
        <w:t xml:space="preserve">A Duna Takarék Bank Zrt. esetén azonosított munkavállalók </w:t>
      </w:r>
    </w:p>
    <w:p w14:paraId="416B0712" w14:textId="7D7375D1" w:rsidR="00D134F6" w:rsidRPr="009C17BC" w:rsidRDefault="00D134F6" w:rsidP="003336E1">
      <w:pPr>
        <w:pStyle w:val="Listaszerbekezds"/>
        <w:numPr>
          <w:ilvl w:val="0"/>
          <w:numId w:val="29"/>
        </w:numPr>
        <w:tabs>
          <w:tab w:val="left" w:pos="851"/>
        </w:tabs>
        <w:ind w:left="567" w:hanging="283"/>
        <w:jc w:val="both"/>
        <w:rPr>
          <w:rFonts w:cstheme="minorHAnsi"/>
        </w:rPr>
      </w:pPr>
      <w:r w:rsidRPr="009C17BC">
        <w:rPr>
          <w:rFonts w:cstheme="minorHAnsi"/>
        </w:rPr>
        <w:t xml:space="preserve">2.sz.: </w:t>
      </w:r>
      <w:r w:rsidRPr="009C17BC">
        <w:rPr>
          <w:rFonts w:cstheme="minorHAnsi"/>
        </w:rPr>
        <w:tab/>
        <w:t>Duna Takarék Bank Zrt. (DTB) központi teljesítményértékelési és mozgóbére-</w:t>
      </w:r>
      <w:r w:rsidRPr="009C17BC">
        <w:rPr>
          <w:rFonts w:cstheme="minorHAnsi"/>
        </w:rPr>
        <w:tab/>
      </w:r>
      <w:r w:rsidRPr="009C17BC">
        <w:rPr>
          <w:rFonts w:cstheme="minorHAnsi"/>
        </w:rPr>
        <w:tab/>
      </w:r>
      <w:r w:rsidR="00023799">
        <w:rPr>
          <w:rFonts w:cstheme="minorHAnsi"/>
        </w:rPr>
        <w:tab/>
      </w:r>
      <w:proofErr w:type="spellStart"/>
      <w:r w:rsidRPr="009C17BC">
        <w:rPr>
          <w:rFonts w:cstheme="minorHAnsi"/>
        </w:rPr>
        <w:t>zési</w:t>
      </w:r>
      <w:proofErr w:type="spellEnd"/>
      <w:r w:rsidRPr="009C17BC">
        <w:rPr>
          <w:rFonts w:cstheme="minorHAnsi"/>
        </w:rPr>
        <w:t xml:space="preserve"> rendszerének alapelvei</w:t>
      </w:r>
    </w:p>
    <w:p w14:paraId="41FB088B" w14:textId="1F90E9EE" w:rsidR="00D134F6" w:rsidRPr="009C17BC" w:rsidRDefault="00D134F6" w:rsidP="003336E1">
      <w:pPr>
        <w:pStyle w:val="Listaszerbekezds"/>
        <w:numPr>
          <w:ilvl w:val="0"/>
          <w:numId w:val="29"/>
        </w:numPr>
        <w:tabs>
          <w:tab w:val="left" w:pos="851"/>
        </w:tabs>
        <w:ind w:left="567" w:hanging="283"/>
        <w:jc w:val="both"/>
        <w:rPr>
          <w:rFonts w:cstheme="minorHAnsi"/>
        </w:rPr>
      </w:pPr>
      <w:r w:rsidRPr="009C17BC">
        <w:rPr>
          <w:rFonts w:cstheme="minorHAnsi"/>
        </w:rPr>
        <w:t>3.sz.:</w:t>
      </w:r>
      <w:r w:rsidRPr="009C17BC">
        <w:rPr>
          <w:rFonts w:cstheme="minorHAnsi"/>
        </w:rPr>
        <w:tab/>
        <w:t>Egyéni ösztönzési lapok</w:t>
      </w:r>
    </w:p>
    <w:p w14:paraId="56838F84" w14:textId="2B350718" w:rsidR="00D134F6" w:rsidRPr="009C17BC" w:rsidRDefault="00D134F6" w:rsidP="003336E1">
      <w:pPr>
        <w:pStyle w:val="Listaszerbekezds"/>
        <w:numPr>
          <w:ilvl w:val="0"/>
          <w:numId w:val="29"/>
        </w:numPr>
        <w:tabs>
          <w:tab w:val="left" w:pos="851"/>
        </w:tabs>
        <w:ind w:left="567" w:hanging="283"/>
        <w:jc w:val="both"/>
        <w:rPr>
          <w:rFonts w:cstheme="minorHAnsi"/>
        </w:rPr>
      </w:pPr>
      <w:r w:rsidRPr="009C17BC">
        <w:rPr>
          <w:rFonts w:cstheme="minorHAnsi"/>
        </w:rPr>
        <w:t xml:space="preserve">4.sz.: </w:t>
      </w:r>
      <w:r w:rsidRPr="009C17BC">
        <w:rPr>
          <w:rFonts w:cstheme="minorHAnsi"/>
        </w:rPr>
        <w:tab/>
        <w:t xml:space="preserve">Duna Kavics egyéni érdekeltségi ösztönző rendszer ügyvezetői utasítás </w:t>
      </w:r>
    </w:p>
    <w:p w14:paraId="10259EB0" w14:textId="77777777" w:rsidR="00D134F6" w:rsidRPr="009C17BC" w:rsidRDefault="00D134F6" w:rsidP="003336E1">
      <w:pPr>
        <w:pStyle w:val="Listaszerbekezds"/>
        <w:numPr>
          <w:ilvl w:val="0"/>
          <w:numId w:val="29"/>
        </w:numPr>
        <w:tabs>
          <w:tab w:val="left" w:pos="851"/>
        </w:tabs>
        <w:ind w:left="567" w:hanging="283"/>
        <w:jc w:val="both"/>
        <w:rPr>
          <w:rFonts w:cstheme="minorHAnsi"/>
        </w:rPr>
      </w:pPr>
      <w:r w:rsidRPr="009C17BC">
        <w:rPr>
          <w:rFonts w:cstheme="minorHAnsi"/>
          <w:bCs/>
        </w:rPr>
        <w:t xml:space="preserve">5.sz.: </w:t>
      </w:r>
      <w:r w:rsidRPr="009C17BC">
        <w:rPr>
          <w:rFonts w:cstheme="minorHAnsi"/>
          <w:bCs/>
        </w:rPr>
        <w:tab/>
        <w:t>A teljesítményértékelés folyamatának feladatai és annak menetrendje</w:t>
      </w:r>
    </w:p>
    <w:p w14:paraId="3F9B68A2" w14:textId="5229583A" w:rsidR="008C62D8" w:rsidRPr="009C17BC" w:rsidRDefault="00D134F6" w:rsidP="003336E1">
      <w:pPr>
        <w:pStyle w:val="Listaszerbekezds"/>
        <w:numPr>
          <w:ilvl w:val="0"/>
          <w:numId w:val="29"/>
        </w:numPr>
        <w:tabs>
          <w:tab w:val="left" w:pos="851"/>
        </w:tabs>
        <w:ind w:left="567" w:hanging="283"/>
        <w:jc w:val="both"/>
        <w:rPr>
          <w:rFonts w:cstheme="minorHAnsi"/>
        </w:rPr>
      </w:pPr>
      <w:r w:rsidRPr="009C17BC">
        <w:rPr>
          <w:rFonts w:cstheme="minorHAnsi"/>
          <w:bCs/>
        </w:rPr>
        <w:t>6.sz.:</w:t>
      </w:r>
      <w:r w:rsidRPr="009C17BC">
        <w:rPr>
          <w:rFonts w:cstheme="minorHAnsi"/>
          <w:bCs/>
        </w:rPr>
        <w:tab/>
        <w:t>Javadalmazási méréshez kötődő eredmény, értékesítési és kockázati mutatók</w:t>
      </w:r>
      <w:r w:rsidR="004C4126">
        <w:rPr>
          <w:rFonts w:cstheme="minorHAnsi"/>
          <w:bCs/>
        </w:rPr>
        <w:t xml:space="preserve"> </w:t>
      </w:r>
      <w:r w:rsidRPr="009C17BC">
        <w:rPr>
          <w:rFonts w:cstheme="minorHAnsi"/>
          <w:bCs/>
        </w:rPr>
        <w:t>tartalmának leírása, kiszámítása</w:t>
      </w:r>
    </w:p>
    <w:sectPr w:rsidR="008C62D8" w:rsidRPr="009C17BC" w:rsidSect="004916BF">
      <w:headerReference w:type="default"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31B2D" w14:textId="77777777" w:rsidR="00920C5D" w:rsidRDefault="00920C5D" w:rsidP="006A33D8">
      <w:pPr>
        <w:spacing w:after="0" w:line="240" w:lineRule="auto"/>
      </w:pPr>
      <w:r>
        <w:separator/>
      </w:r>
    </w:p>
  </w:endnote>
  <w:endnote w:type="continuationSeparator" w:id="0">
    <w:p w14:paraId="4B58A750" w14:textId="77777777" w:rsidR="00920C5D" w:rsidRDefault="00920C5D" w:rsidP="006A3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EYInterstate Ligh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857608"/>
      <w:docPartObj>
        <w:docPartGallery w:val="Page Numbers (Bottom of Page)"/>
        <w:docPartUnique/>
      </w:docPartObj>
    </w:sdtPr>
    <w:sdtEndPr/>
    <w:sdtContent>
      <w:p w14:paraId="65F7A6BA" w14:textId="4722ED5D" w:rsidR="00920C5D" w:rsidRDefault="00920C5D">
        <w:pPr>
          <w:pStyle w:val="llb"/>
          <w:jc w:val="right"/>
        </w:pPr>
        <w:r>
          <w:fldChar w:fldCharType="begin"/>
        </w:r>
        <w:r>
          <w:instrText>PAGE   \* MERGEFORMAT</w:instrText>
        </w:r>
        <w:r>
          <w:fldChar w:fldCharType="separate"/>
        </w:r>
        <w:r w:rsidR="0040168E">
          <w:rPr>
            <w:noProof/>
          </w:rPr>
          <w:t>22</w:t>
        </w:r>
        <w:r>
          <w:fldChar w:fldCharType="end"/>
        </w:r>
      </w:p>
    </w:sdtContent>
  </w:sdt>
  <w:p w14:paraId="6636B0E2" w14:textId="3200DBA9" w:rsidR="00920C5D" w:rsidRPr="006A33D8" w:rsidRDefault="00920C5D" w:rsidP="006A33D8">
    <w:pPr>
      <w:pStyle w:val="llb"/>
      <w:pBdr>
        <w:top w:val="single" w:sz="4" w:space="1" w:color="auto"/>
      </w:pBd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860885"/>
      <w:docPartObj>
        <w:docPartGallery w:val="Page Numbers (Bottom of Page)"/>
        <w:docPartUnique/>
      </w:docPartObj>
    </w:sdtPr>
    <w:sdtEndPr/>
    <w:sdtContent>
      <w:p w14:paraId="5B5EB848" w14:textId="77777777" w:rsidR="00920C5D" w:rsidRDefault="00920C5D">
        <w:pPr>
          <w:pStyle w:val="llb"/>
          <w:jc w:val="right"/>
        </w:pPr>
        <w:r>
          <w:fldChar w:fldCharType="begin"/>
        </w:r>
        <w:r>
          <w:instrText>PAGE   \* MERGEFORMAT</w:instrText>
        </w:r>
        <w:r>
          <w:fldChar w:fldCharType="separate"/>
        </w:r>
        <w:r w:rsidR="0040168E">
          <w:rPr>
            <w:noProof/>
          </w:rPr>
          <w:t>1</w:t>
        </w:r>
        <w:r>
          <w:fldChar w:fldCharType="end"/>
        </w:r>
      </w:p>
    </w:sdtContent>
  </w:sdt>
  <w:p w14:paraId="5BD08A74" w14:textId="77777777" w:rsidR="00920C5D" w:rsidRDefault="00920C5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8FD16" w14:textId="77777777" w:rsidR="00920C5D" w:rsidRDefault="00920C5D" w:rsidP="006A33D8">
      <w:pPr>
        <w:spacing w:after="0" w:line="240" w:lineRule="auto"/>
      </w:pPr>
      <w:r>
        <w:separator/>
      </w:r>
    </w:p>
  </w:footnote>
  <w:footnote w:type="continuationSeparator" w:id="0">
    <w:p w14:paraId="5F73B615" w14:textId="77777777" w:rsidR="00920C5D" w:rsidRDefault="00920C5D" w:rsidP="006A33D8">
      <w:pPr>
        <w:spacing w:after="0" w:line="240" w:lineRule="auto"/>
      </w:pPr>
      <w:r>
        <w:continuationSeparator/>
      </w:r>
    </w:p>
  </w:footnote>
  <w:footnote w:id="1">
    <w:p w14:paraId="2ACAA7E4" w14:textId="77777777" w:rsidR="00655B5E" w:rsidRPr="007F479A" w:rsidRDefault="00655B5E" w:rsidP="00655B5E">
      <w:pPr>
        <w:pStyle w:val="Lbjegyzetszveg"/>
      </w:pPr>
      <w:r w:rsidRPr="007F479A">
        <w:rPr>
          <w:rStyle w:val="Lbjegyzet-hivatkozs"/>
        </w:rPr>
        <w:footnoteRef/>
      </w:r>
      <w:r w:rsidRPr="007F479A">
        <w:t xml:space="preserve"> Ebben a mezőben kell jelölni a sorszám után kötőjellel, hogy külső vagy belső mellékletről van szó és azt is, ha a melléklet korlátozott betekintésű</w:t>
      </w:r>
    </w:p>
  </w:footnote>
  <w:footnote w:id="2">
    <w:p w14:paraId="2F02688C" w14:textId="77777777" w:rsidR="00AA27CC" w:rsidRPr="00C73AAE" w:rsidRDefault="00AA27CC" w:rsidP="00AA27CC">
      <w:pPr>
        <w:pStyle w:val="Lbjegyzetszveg"/>
        <w:rPr>
          <w:rFonts w:ascii="Times New Roman" w:hAnsi="Times New Roman" w:cs="Times New Roman"/>
        </w:rPr>
      </w:pPr>
      <w:r>
        <w:rPr>
          <w:rStyle w:val="Lbjegyzet-hivatkozs"/>
        </w:rPr>
        <w:footnoteRef/>
      </w:r>
      <w:r>
        <w:t xml:space="preserve"> </w:t>
      </w:r>
      <w:r>
        <w:rPr>
          <w:rFonts w:ascii="Times New Roman" w:hAnsi="Times New Roman" w:cs="Times New Roman"/>
        </w:rPr>
        <w:t xml:space="preserve">A Bank jelentősnek az 5 millió Ft-ot meghaladó olyan veszteséget tekinti, amely a normál üzleti működés során, tranzakcióból vagy annak lebonyolításából származik. A kettős szankcionálás elkerülése érdekében, ebben az értelemben nem tekintendő veszteségnek a hatósági bírság.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4CD77" w14:textId="6242917C" w:rsidR="00920C5D" w:rsidRPr="006A33D8" w:rsidRDefault="00655B5E" w:rsidP="006A33D8">
    <w:pPr>
      <w:pStyle w:val="lfej"/>
      <w:pBdr>
        <w:bottom w:val="single" w:sz="4" w:space="1" w:color="auto"/>
      </w:pBdr>
      <w:rPr>
        <w:rFonts w:ascii="Times New Roman" w:hAnsi="Times New Roman" w:cs="Times New Roman"/>
        <w:sz w:val="24"/>
        <w:szCs w:val="24"/>
      </w:rPr>
    </w:pPr>
    <w:r>
      <w:rPr>
        <w:rFonts w:ascii="Times New Roman" w:hAnsi="Times New Roman" w:cs="Times New Roman"/>
        <w:sz w:val="24"/>
        <w:szCs w:val="24"/>
      </w:rPr>
      <w:t xml:space="preserve">Duna Takarék Bank Zrt. </w:t>
    </w:r>
    <w:r w:rsidR="00920C5D" w:rsidRPr="006A33D8">
      <w:rPr>
        <w:rFonts w:ascii="Times New Roman" w:hAnsi="Times New Roman" w:cs="Times New Roman"/>
        <w:sz w:val="24"/>
        <w:szCs w:val="24"/>
      </w:rPr>
      <w:t>Javadalmazási Politika</w:t>
    </w:r>
    <w:r w:rsidR="00094382">
      <w:rPr>
        <w:rFonts w:ascii="Times New Roman" w:hAnsi="Times New Roman" w:cs="Times New Roman"/>
        <w:sz w:val="24"/>
        <w:szCs w:val="24"/>
      </w:rPr>
      <w:t xml:space="preserve"> </w:t>
    </w:r>
    <w:r w:rsidR="00A24BCF">
      <w:rPr>
        <w:rFonts w:ascii="Times New Roman" w:hAnsi="Times New Roman" w:cs="Times New Roman"/>
        <w:sz w:val="24"/>
        <w:szCs w:val="24"/>
      </w:rPr>
      <w:tab/>
    </w:r>
    <w:r w:rsidR="00920C5D" w:rsidRPr="00F906D0">
      <w:rPr>
        <w:rFonts w:ascii="Times New Roman" w:hAnsi="Times New Roman" w:cs="Times New Roman"/>
        <w:sz w:val="24"/>
        <w:szCs w:val="24"/>
        <w:highlight w:val="yellow"/>
      </w:rPr>
      <w:t xml:space="preserve">Hatályos: </w:t>
    </w:r>
    <w:r w:rsidR="00655658" w:rsidRPr="00F906D0">
      <w:rPr>
        <w:rFonts w:ascii="Times New Roman" w:hAnsi="Times New Roman" w:cs="Times New Roman"/>
        <w:sz w:val="24"/>
        <w:szCs w:val="24"/>
        <w:highlight w:val="yellow"/>
      </w:rPr>
      <w:t>2023.10.</w:t>
    </w:r>
    <w:r w:rsidR="004C4126">
      <w:rPr>
        <w:rFonts w:ascii="Times New Roman" w:hAnsi="Times New Roman" w:cs="Times New Roman"/>
        <w:sz w:val="24"/>
        <w:szCs w:val="24"/>
        <w:highlight w:val="yellow"/>
      </w:rPr>
      <w:t>13</w:t>
    </w:r>
    <w:r w:rsidR="00094382" w:rsidRPr="00F906D0">
      <w:rPr>
        <w:rFonts w:ascii="Times New Roman" w:hAnsi="Times New Roman" w:cs="Times New Roman"/>
        <w:sz w:val="24"/>
        <w:szCs w:val="24"/>
        <w:highlight w:val="yellow"/>
      </w:rPr>
      <w:t>-</w:t>
    </w:r>
    <w:r w:rsidR="00920C5D" w:rsidRPr="00F906D0">
      <w:rPr>
        <w:rFonts w:ascii="Times New Roman" w:hAnsi="Times New Roman" w:cs="Times New Roman"/>
        <w:sz w:val="24"/>
        <w:szCs w:val="24"/>
        <w:highlight w:val="yellow"/>
      </w:rPr>
      <w:t>t</w:t>
    </w:r>
    <w:r w:rsidR="004C4126">
      <w:rPr>
        <w:rFonts w:ascii="Times New Roman" w:hAnsi="Times New Roman" w:cs="Times New Roman"/>
        <w:sz w:val="24"/>
        <w:szCs w:val="24"/>
        <w:highlight w:val="yellow"/>
      </w:rPr>
      <w:t>ó</w:t>
    </w:r>
    <w:r w:rsidR="00920C5D" w:rsidRPr="00F906D0">
      <w:rPr>
        <w:rFonts w:ascii="Times New Roman" w:hAnsi="Times New Roman" w:cs="Times New Roman"/>
        <w:sz w:val="24"/>
        <w:szCs w:val="24"/>
        <w:highlight w:val="yellow"/>
      </w:rPr>
      <w:t>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EA07" w14:textId="6AFCDE95" w:rsidR="009C17BC" w:rsidRPr="009C17BC" w:rsidRDefault="009C17BC" w:rsidP="009C17BC">
    <w:pPr>
      <w:pStyle w:val="lfej"/>
    </w:pPr>
    <w:r>
      <w:rPr>
        <w:noProof/>
        <w:lang w:eastAsia="hu-HU"/>
      </w:rPr>
      <w:drawing>
        <wp:inline distT="0" distB="0" distL="0" distR="0" wp14:anchorId="01F3E74E" wp14:editId="04FD417A">
          <wp:extent cx="2047875" cy="703630"/>
          <wp:effectExtent l="0" t="0" r="0" b="1270"/>
          <wp:docPr id="213983041" name="Kép 1" descr="A képen Betűtípus, embléma, Grafika, szimbólum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83041" name="Kép 1" descr="A képen Betűtípus, embléma, Grafika, szimbólum látható&#10;&#10;Automatikusan generált leírás"/>
                  <pic:cNvPicPr/>
                </pic:nvPicPr>
                <pic:blipFill>
                  <a:blip r:embed="rId1"/>
                  <a:stretch>
                    <a:fillRect/>
                  </a:stretch>
                </pic:blipFill>
                <pic:spPr>
                  <a:xfrm>
                    <a:off x="0" y="0"/>
                    <a:ext cx="2073922" cy="7125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518E"/>
    <w:multiLevelType w:val="hybridMultilevel"/>
    <w:tmpl w:val="F4EC9D40"/>
    <w:lvl w:ilvl="0" w:tplc="51F0E3A0">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 w15:restartNumberingAfterBreak="0">
    <w:nsid w:val="04044DF1"/>
    <w:multiLevelType w:val="hybridMultilevel"/>
    <w:tmpl w:val="A126DA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9606BF5"/>
    <w:multiLevelType w:val="multilevel"/>
    <w:tmpl w:val="A9FA697A"/>
    <w:lvl w:ilvl="0">
      <w:start w:val="5"/>
      <w:numFmt w:val="decimal"/>
      <w:lvlText w:val="%1"/>
      <w:lvlJc w:val="left"/>
      <w:pPr>
        <w:ind w:left="600" w:hanging="600"/>
      </w:pPr>
      <w:rPr>
        <w:rFonts w:hint="default"/>
      </w:rPr>
    </w:lvl>
    <w:lvl w:ilvl="1">
      <w:start w:val="2"/>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97A358C"/>
    <w:multiLevelType w:val="hybridMultilevel"/>
    <w:tmpl w:val="FAA8C5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B19696F"/>
    <w:multiLevelType w:val="hybridMultilevel"/>
    <w:tmpl w:val="3B2EADD0"/>
    <w:lvl w:ilvl="0" w:tplc="C69CEB0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D2A2EB5"/>
    <w:multiLevelType w:val="hybridMultilevel"/>
    <w:tmpl w:val="41F832A4"/>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 w15:restartNumberingAfterBreak="0">
    <w:nsid w:val="114B138C"/>
    <w:multiLevelType w:val="hybridMultilevel"/>
    <w:tmpl w:val="7D327E0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156A87"/>
    <w:multiLevelType w:val="hybridMultilevel"/>
    <w:tmpl w:val="1ED2B9C0"/>
    <w:lvl w:ilvl="0" w:tplc="040E0001">
      <w:start w:val="1"/>
      <w:numFmt w:val="bullet"/>
      <w:lvlText w:val=""/>
      <w:lvlJc w:val="left"/>
      <w:pPr>
        <w:ind w:left="1776" w:hanging="360"/>
      </w:pPr>
      <w:rPr>
        <w:rFonts w:ascii="Symbol" w:hAnsi="Symbol"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8" w15:restartNumberingAfterBreak="0">
    <w:nsid w:val="1AEA3C7A"/>
    <w:multiLevelType w:val="hybridMultilevel"/>
    <w:tmpl w:val="C3AC2B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0E649A5"/>
    <w:multiLevelType w:val="hybridMultilevel"/>
    <w:tmpl w:val="83E2DAEA"/>
    <w:lvl w:ilvl="0" w:tplc="CBFCF724">
      <w:start w:val="1"/>
      <w:numFmt w:val="lowerLetter"/>
      <w:lvlText w:val="%1.)"/>
      <w:lvlJc w:val="left"/>
      <w:pPr>
        <w:tabs>
          <w:tab w:val="num" w:pos="0"/>
        </w:tabs>
        <w:ind w:left="360" w:hanging="360"/>
      </w:pPr>
      <w:rPr>
        <w:rFonts w:hint="default"/>
      </w:rPr>
    </w:lvl>
    <w:lvl w:ilvl="1" w:tplc="B956A5B0">
      <w:start w:val="1"/>
      <w:numFmt w:val="lowerLetter"/>
      <w:lvlText w:val="%2."/>
      <w:lvlJc w:val="left"/>
      <w:pPr>
        <w:tabs>
          <w:tab w:val="num" w:pos="1080"/>
        </w:tabs>
        <w:ind w:left="1080" w:hanging="360"/>
      </w:pPr>
      <w:rPr>
        <w:rFonts w:hint="default"/>
        <w:i/>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0" w15:restartNumberingAfterBreak="0">
    <w:nsid w:val="25963606"/>
    <w:multiLevelType w:val="hybridMultilevel"/>
    <w:tmpl w:val="6CCA1EDC"/>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1" w15:restartNumberingAfterBreak="0">
    <w:nsid w:val="2BBE5D75"/>
    <w:multiLevelType w:val="hybridMultilevel"/>
    <w:tmpl w:val="175A4A48"/>
    <w:lvl w:ilvl="0" w:tplc="040E0017">
      <w:start w:val="1"/>
      <w:numFmt w:val="lowerLetter"/>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2" w15:restartNumberingAfterBreak="0">
    <w:nsid w:val="2D8B704D"/>
    <w:multiLevelType w:val="multilevel"/>
    <w:tmpl w:val="3214B45A"/>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3" w15:restartNumberingAfterBreak="0">
    <w:nsid w:val="309A50A6"/>
    <w:multiLevelType w:val="hybridMultilevel"/>
    <w:tmpl w:val="61742FC4"/>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4" w15:restartNumberingAfterBreak="0">
    <w:nsid w:val="32EE14CC"/>
    <w:multiLevelType w:val="multilevel"/>
    <w:tmpl w:val="5852A240"/>
    <w:lvl w:ilvl="0">
      <w:start w:val="1"/>
      <w:numFmt w:val="upperRoman"/>
      <w:lvlText w:val="%1."/>
      <w:lvlJc w:val="left"/>
      <w:pPr>
        <w:tabs>
          <w:tab w:val="num" w:pos="720"/>
        </w:tabs>
        <w:ind w:left="284" w:hanging="284"/>
      </w:pPr>
      <w:rPr>
        <w:rFonts w:hint="default"/>
      </w:rPr>
    </w:lvl>
    <w:lvl w:ilvl="1">
      <w:start w:val="1"/>
      <w:numFmt w:val="decimal"/>
      <w:lvlText w:val="%2."/>
      <w:lvlJc w:val="left"/>
      <w:pPr>
        <w:tabs>
          <w:tab w:val="num" w:pos="360"/>
        </w:tabs>
        <w:ind w:left="340" w:hanging="340"/>
      </w:pPr>
      <w:rPr>
        <w:rFonts w:hint="default"/>
      </w:rPr>
    </w:lvl>
    <w:lvl w:ilvl="2">
      <w:start w:val="1"/>
      <w:numFmt w:val="decimal"/>
      <w:lvlText w:val="%2.%3."/>
      <w:lvlJc w:val="left"/>
      <w:pPr>
        <w:tabs>
          <w:tab w:val="num" w:pos="510"/>
        </w:tabs>
        <w:ind w:left="510" w:hanging="510"/>
      </w:pPr>
      <w:rPr>
        <w:rFonts w:hint="default"/>
      </w:rPr>
    </w:lvl>
    <w:lvl w:ilvl="3">
      <w:start w:val="1"/>
      <w:numFmt w:val="decimal"/>
      <w:lvlText w:val="%2.%3.%4"/>
      <w:lvlJc w:val="left"/>
      <w:pPr>
        <w:tabs>
          <w:tab w:val="num" w:pos="862"/>
        </w:tabs>
        <w:ind w:left="233" w:hanging="91"/>
      </w:pPr>
      <w:rPr>
        <w:rFonts w:hint="default"/>
      </w:rPr>
    </w:lvl>
    <w:lvl w:ilvl="4">
      <w:start w:val="1"/>
      <w:numFmt w:val="decimal"/>
      <w:lvlText w:val="5.2.3.%5"/>
      <w:lvlJc w:val="left"/>
      <w:pPr>
        <w:tabs>
          <w:tab w:val="num" w:pos="2520"/>
        </w:tabs>
        <w:ind w:left="2232" w:hanging="792"/>
      </w:pPr>
      <w:rPr>
        <w:rFonts w:hint="default"/>
      </w:rPr>
    </w:lvl>
    <w:lvl w:ilvl="5">
      <w:start w:val="1"/>
      <w:numFmt w:val="decimal"/>
      <w:lvlText w:val="%5.%2.%3.%4.%6."/>
      <w:lvlJc w:val="left"/>
      <w:pPr>
        <w:tabs>
          <w:tab w:val="num" w:pos="3240"/>
        </w:tabs>
        <w:ind w:left="2736" w:hanging="936"/>
      </w:pPr>
      <w:rPr>
        <w:rFonts w:hint="default"/>
      </w:rPr>
    </w:lvl>
    <w:lvl w:ilvl="6">
      <w:start w:val="1"/>
      <w:numFmt w:val="decimal"/>
      <w:lvlText w:val="%6.%2.%3.%4.%5.%7."/>
      <w:lvlJc w:val="left"/>
      <w:pPr>
        <w:tabs>
          <w:tab w:val="num" w:pos="3960"/>
        </w:tabs>
        <w:ind w:left="3240" w:hanging="1080"/>
      </w:pPr>
      <w:rPr>
        <w:rFonts w:hint="default"/>
      </w:rPr>
    </w:lvl>
    <w:lvl w:ilvl="7">
      <w:start w:val="1"/>
      <w:numFmt w:val="decimal"/>
      <w:lvlText w:val="%7.%2.%3.%4.%5.%6.%8."/>
      <w:lvlJc w:val="left"/>
      <w:pPr>
        <w:tabs>
          <w:tab w:val="num" w:pos="4680"/>
        </w:tabs>
        <w:ind w:left="3744" w:hanging="1224"/>
      </w:pPr>
      <w:rPr>
        <w:rFonts w:hint="default"/>
      </w:rPr>
    </w:lvl>
    <w:lvl w:ilvl="8">
      <w:start w:val="1"/>
      <w:numFmt w:val="decimal"/>
      <w:lvlText w:val="%8.%2.%3.%4.%5.%6.%7.%9."/>
      <w:lvlJc w:val="left"/>
      <w:pPr>
        <w:tabs>
          <w:tab w:val="num" w:pos="5040"/>
        </w:tabs>
        <w:ind w:left="4320" w:hanging="1440"/>
      </w:pPr>
      <w:rPr>
        <w:rFonts w:hint="default"/>
      </w:rPr>
    </w:lvl>
  </w:abstractNum>
  <w:abstractNum w:abstractNumId="15" w15:restartNumberingAfterBreak="0">
    <w:nsid w:val="37B678EA"/>
    <w:multiLevelType w:val="hybridMultilevel"/>
    <w:tmpl w:val="D3784C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9CB6FD9"/>
    <w:multiLevelType w:val="hybridMultilevel"/>
    <w:tmpl w:val="69845D78"/>
    <w:lvl w:ilvl="0" w:tplc="040E0001">
      <w:start w:val="1"/>
      <w:numFmt w:val="bullet"/>
      <w:lvlText w:val=""/>
      <w:lvlJc w:val="left"/>
      <w:pPr>
        <w:ind w:left="1695" w:hanging="360"/>
      </w:pPr>
      <w:rPr>
        <w:rFonts w:ascii="Symbol" w:hAnsi="Symbol" w:hint="default"/>
      </w:rPr>
    </w:lvl>
    <w:lvl w:ilvl="1" w:tplc="040E0003" w:tentative="1">
      <w:start w:val="1"/>
      <w:numFmt w:val="bullet"/>
      <w:lvlText w:val="o"/>
      <w:lvlJc w:val="left"/>
      <w:pPr>
        <w:ind w:left="2415" w:hanging="360"/>
      </w:pPr>
      <w:rPr>
        <w:rFonts w:ascii="Courier New" w:hAnsi="Courier New" w:cs="Courier New" w:hint="default"/>
      </w:rPr>
    </w:lvl>
    <w:lvl w:ilvl="2" w:tplc="040E0005" w:tentative="1">
      <w:start w:val="1"/>
      <w:numFmt w:val="bullet"/>
      <w:lvlText w:val=""/>
      <w:lvlJc w:val="left"/>
      <w:pPr>
        <w:ind w:left="3135" w:hanging="360"/>
      </w:pPr>
      <w:rPr>
        <w:rFonts w:ascii="Wingdings" w:hAnsi="Wingdings" w:hint="default"/>
      </w:rPr>
    </w:lvl>
    <w:lvl w:ilvl="3" w:tplc="040E0001" w:tentative="1">
      <w:start w:val="1"/>
      <w:numFmt w:val="bullet"/>
      <w:lvlText w:val=""/>
      <w:lvlJc w:val="left"/>
      <w:pPr>
        <w:ind w:left="3855" w:hanging="360"/>
      </w:pPr>
      <w:rPr>
        <w:rFonts w:ascii="Symbol" w:hAnsi="Symbol" w:hint="default"/>
      </w:rPr>
    </w:lvl>
    <w:lvl w:ilvl="4" w:tplc="040E0003" w:tentative="1">
      <w:start w:val="1"/>
      <w:numFmt w:val="bullet"/>
      <w:lvlText w:val="o"/>
      <w:lvlJc w:val="left"/>
      <w:pPr>
        <w:ind w:left="4575" w:hanging="360"/>
      </w:pPr>
      <w:rPr>
        <w:rFonts w:ascii="Courier New" w:hAnsi="Courier New" w:cs="Courier New" w:hint="default"/>
      </w:rPr>
    </w:lvl>
    <w:lvl w:ilvl="5" w:tplc="040E0005" w:tentative="1">
      <w:start w:val="1"/>
      <w:numFmt w:val="bullet"/>
      <w:lvlText w:val=""/>
      <w:lvlJc w:val="left"/>
      <w:pPr>
        <w:ind w:left="5295" w:hanging="360"/>
      </w:pPr>
      <w:rPr>
        <w:rFonts w:ascii="Wingdings" w:hAnsi="Wingdings" w:hint="default"/>
      </w:rPr>
    </w:lvl>
    <w:lvl w:ilvl="6" w:tplc="040E0001" w:tentative="1">
      <w:start w:val="1"/>
      <w:numFmt w:val="bullet"/>
      <w:lvlText w:val=""/>
      <w:lvlJc w:val="left"/>
      <w:pPr>
        <w:ind w:left="6015" w:hanging="360"/>
      </w:pPr>
      <w:rPr>
        <w:rFonts w:ascii="Symbol" w:hAnsi="Symbol" w:hint="default"/>
      </w:rPr>
    </w:lvl>
    <w:lvl w:ilvl="7" w:tplc="040E0003" w:tentative="1">
      <w:start w:val="1"/>
      <w:numFmt w:val="bullet"/>
      <w:lvlText w:val="o"/>
      <w:lvlJc w:val="left"/>
      <w:pPr>
        <w:ind w:left="6735" w:hanging="360"/>
      </w:pPr>
      <w:rPr>
        <w:rFonts w:ascii="Courier New" w:hAnsi="Courier New" w:cs="Courier New" w:hint="default"/>
      </w:rPr>
    </w:lvl>
    <w:lvl w:ilvl="8" w:tplc="040E0005" w:tentative="1">
      <w:start w:val="1"/>
      <w:numFmt w:val="bullet"/>
      <w:lvlText w:val=""/>
      <w:lvlJc w:val="left"/>
      <w:pPr>
        <w:ind w:left="7455" w:hanging="360"/>
      </w:pPr>
      <w:rPr>
        <w:rFonts w:ascii="Wingdings" w:hAnsi="Wingdings" w:hint="default"/>
      </w:rPr>
    </w:lvl>
  </w:abstractNum>
  <w:abstractNum w:abstractNumId="17" w15:restartNumberingAfterBreak="0">
    <w:nsid w:val="3A260283"/>
    <w:multiLevelType w:val="hybridMultilevel"/>
    <w:tmpl w:val="670E0A7C"/>
    <w:lvl w:ilvl="0" w:tplc="040E000F">
      <w:start w:val="1"/>
      <w:numFmt w:val="decimal"/>
      <w:lvlText w:val="%1."/>
      <w:lvlJc w:val="left"/>
      <w:pPr>
        <w:ind w:left="360" w:hanging="360"/>
      </w:pPr>
    </w:lvl>
    <w:lvl w:ilvl="1" w:tplc="47BC707E">
      <w:start w:val="1"/>
      <w:numFmt w:val="decimal"/>
      <w:lvlText w:val="4.%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0B94C02"/>
    <w:multiLevelType w:val="multilevel"/>
    <w:tmpl w:val="CB2CFB16"/>
    <w:lvl w:ilvl="0">
      <w:start w:val="1"/>
      <w:numFmt w:val="decimal"/>
      <w:lvlText w:val="%1."/>
      <w:lvlJc w:val="left"/>
      <w:pPr>
        <w:ind w:left="1776" w:hanging="360"/>
      </w:pPr>
    </w:lvl>
    <w:lvl w:ilvl="1">
      <w:start w:val="2"/>
      <w:numFmt w:val="decimal"/>
      <w:isLgl/>
      <w:lvlText w:val="%1.%2."/>
      <w:lvlJc w:val="left"/>
      <w:pPr>
        <w:ind w:left="2136" w:hanging="720"/>
      </w:pPr>
      <w:rPr>
        <w:rFonts w:hint="default"/>
      </w:rPr>
    </w:lvl>
    <w:lvl w:ilvl="2">
      <w:start w:val="2"/>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216" w:hanging="1800"/>
      </w:pPr>
      <w:rPr>
        <w:rFonts w:hint="default"/>
      </w:rPr>
    </w:lvl>
    <w:lvl w:ilvl="8">
      <w:start w:val="1"/>
      <w:numFmt w:val="decimal"/>
      <w:isLgl/>
      <w:lvlText w:val="%1.%2.%3.%4.%5.%6.%7.%8.%9."/>
      <w:lvlJc w:val="left"/>
      <w:pPr>
        <w:ind w:left="3576" w:hanging="2160"/>
      </w:pPr>
      <w:rPr>
        <w:rFonts w:hint="default"/>
      </w:rPr>
    </w:lvl>
  </w:abstractNum>
  <w:abstractNum w:abstractNumId="19" w15:restartNumberingAfterBreak="0">
    <w:nsid w:val="40D03B40"/>
    <w:multiLevelType w:val="hybridMultilevel"/>
    <w:tmpl w:val="92122F1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0" w15:restartNumberingAfterBreak="0">
    <w:nsid w:val="41F4631B"/>
    <w:multiLevelType w:val="hybridMultilevel"/>
    <w:tmpl w:val="A56A80E2"/>
    <w:lvl w:ilvl="0" w:tplc="040E0001">
      <w:start w:val="1"/>
      <w:numFmt w:val="bullet"/>
      <w:lvlText w:val=""/>
      <w:lvlJc w:val="left"/>
      <w:pPr>
        <w:ind w:left="1776" w:hanging="360"/>
      </w:pPr>
      <w:rPr>
        <w:rFonts w:ascii="Symbol" w:hAnsi="Symbol"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21" w15:restartNumberingAfterBreak="0">
    <w:nsid w:val="4245210A"/>
    <w:multiLevelType w:val="multilevel"/>
    <w:tmpl w:val="70F604E2"/>
    <w:lvl w:ilvl="0">
      <w:start w:val="5"/>
      <w:numFmt w:val="decimal"/>
      <w:lvlText w:val="%1."/>
      <w:lvlJc w:val="left"/>
      <w:pPr>
        <w:ind w:left="675" w:hanging="67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15:restartNumberingAfterBreak="0">
    <w:nsid w:val="42631286"/>
    <w:multiLevelType w:val="hybridMultilevel"/>
    <w:tmpl w:val="A2F2938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3">
      <w:start w:val="1"/>
      <w:numFmt w:val="bullet"/>
      <w:lvlText w:val="o"/>
      <w:lvlJc w:val="left"/>
      <w:pPr>
        <w:ind w:left="2160" w:hanging="360"/>
      </w:pPr>
      <w:rPr>
        <w:rFonts w:ascii="Courier New" w:hAnsi="Courier New" w:cs="Courier New"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56E48DC"/>
    <w:multiLevelType w:val="hybridMultilevel"/>
    <w:tmpl w:val="A9546FEE"/>
    <w:lvl w:ilvl="0" w:tplc="040E0001">
      <w:start w:val="1"/>
      <w:numFmt w:val="bullet"/>
      <w:lvlText w:val=""/>
      <w:lvlJc w:val="left"/>
      <w:pPr>
        <w:ind w:left="2136" w:hanging="360"/>
      </w:pPr>
      <w:rPr>
        <w:rFonts w:ascii="Symbol" w:hAnsi="Symbol"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24" w15:restartNumberingAfterBreak="0">
    <w:nsid w:val="4778174C"/>
    <w:multiLevelType w:val="hybridMultilevel"/>
    <w:tmpl w:val="F74E2100"/>
    <w:lvl w:ilvl="0" w:tplc="040E0001">
      <w:start w:val="1"/>
      <w:numFmt w:val="bullet"/>
      <w:lvlText w:val=""/>
      <w:lvlJc w:val="left"/>
      <w:pPr>
        <w:ind w:left="3240" w:hanging="360"/>
      </w:pPr>
      <w:rPr>
        <w:rFonts w:ascii="Symbol" w:hAnsi="Symbol" w:hint="default"/>
      </w:rPr>
    </w:lvl>
    <w:lvl w:ilvl="1" w:tplc="040E0003" w:tentative="1">
      <w:start w:val="1"/>
      <w:numFmt w:val="bullet"/>
      <w:lvlText w:val="o"/>
      <w:lvlJc w:val="left"/>
      <w:pPr>
        <w:ind w:left="3960" w:hanging="360"/>
      </w:pPr>
      <w:rPr>
        <w:rFonts w:ascii="Courier New" w:hAnsi="Courier New" w:cs="Courier New" w:hint="default"/>
      </w:rPr>
    </w:lvl>
    <w:lvl w:ilvl="2" w:tplc="040E0005" w:tentative="1">
      <w:start w:val="1"/>
      <w:numFmt w:val="bullet"/>
      <w:lvlText w:val=""/>
      <w:lvlJc w:val="left"/>
      <w:pPr>
        <w:ind w:left="4680" w:hanging="360"/>
      </w:pPr>
      <w:rPr>
        <w:rFonts w:ascii="Wingdings" w:hAnsi="Wingdings" w:hint="default"/>
      </w:rPr>
    </w:lvl>
    <w:lvl w:ilvl="3" w:tplc="040E0001" w:tentative="1">
      <w:start w:val="1"/>
      <w:numFmt w:val="bullet"/>
      <w:lvlText w:val=""/>
      <w:lvlJc w:val="left"/>
      <w:pPr>
        <w:ind w:left="5400" w:hanging="360"/>
      </w:pPr>
      <w:rPr>
        <w:rFonts w:ascii="Symbol" w:hAnsi="Symbol" w:hint="default"/>
      </w:rPr>
    </w:lvl>
    <w:lvl w:ilvl="4" w:tplc="040E0003" w:tentative="1">
      <w:start w:val="1"/>
      <w:numFmt w:val="bullet"/>
      <w:lvlText w:val="o"/>
      <w:lvlJc w:val="left"/>
      <w:pPr>
        <w:ind w:left="6120" w:hanging="360"/>
      </w:pPr>
      <w:rPr>
        <w:rFonts w:ascii="Courier New" w:hAnsi="Courier New" w:cs="Courier New" w:hint="default"/>
      </w:rPr>
    </w:lvl>
    <w:lvl w:ilvl="5" w:tplc="040E0005" w:tentative="1">
      <w:start w:val="1"/>
      <w:numFmt w:val="bullet"/>
      <w:lvlText w:val=""/>
      <w:lvlJc w:val="left"/>
      <w:pPr>
        <w:ind w:left="6840" w:hanging="360"/>
      </w:pPr>
      <w:rPr>
        <w:rFonts w:ascii="Wingdings" w:hAnsi="Wingdings" w:hint="default"/>
      </w:rPr>
    </w:lvl>
    <w:lvl w:ilvl="6" w:tplc="040E0001" w:tentative="1">
      <w:start w:val="1"/>
      <w:numFmt w:val="bullet"/>
      <w:lvlText w:val=""/>
      <w:lvlJc w:val="left"/>
      <w:pPr>
        <w:ind w:left="7560" w:hanging="360"/>
      </w:pPr>
      <w:rPr>
        <w:rFonts w:ascii="Symbol" w:hAnsi="Symbol" w:hint="default"/>
      </w:rPr>
    </w:lvl>
    <w:lvl w:ilvl="7" w:tplc="040E0003" w:tentative="1">
      <w:start w:val="1"/>
      <w:numFmt w:val="bullet"/>
      <w:lvlText w:val="o"/>
      <w:lvlJc w:val="left"/>
      <w:pPr>
        <w:ind w:left="8280" w:hanging="360"/>
      </w:pPr>
      <w:rPr>
        <w:rFonts w:ascii="Courier New" w:hAnsi="Courier New" w:cs="Courier New" w:hint="default"/>
      </w:rPr>
    </w:lvl>
    <w:lvl w:ilvl="8" w:tplc="040E0005" w:tentative="1">
      <w:start w:val="1"/>
      <w:numFmt w:val="bullet"/>
      <w:lvlText w:val=""/>
      <w:lvlJc w:val="left"/>
      <w:pPr>
        <w:ind w:left="9000" w:hanging="360"/>
      </w:pPr>
      <w:rPr>
        <w:rFonts w:ascii="Wingdings" w:hAnsi="Wingdings" w:hint="default"/>
      </w:rPr>
    </w:lvl>
  </w:abstractNum>
  <w:abstractNum w:abstractNumId="25" w15:restartNumberingAfterBreak="0">
    <w:nsid w:val="498665A4"/>
    <w:multiLevelType w:val="hybridMultilevel"/>
    <w:tmpl w:val="251C1D1C"/>
    <w:lvl w:ilvl="0" w:tplc="040E0001">
      <w:start w:val="1"/>
      <w:numFmt w:val="bullet"/>
      <w:lvlText w:val=""/>
      <w:lvlJc w:val="left"/>
      <w:pPr>
        <w:ind w:left="3240" w:hanging="360"/>
      </w:pPr>
      <w:rPr>
        <w:rFonts w:ascii="Symbol" w:hAnsi="Symbol" w:hint="default"/>
      </w:rPr>
    </w:lvl>
    <w:lvl w:ilvl="1" w:tplc="040E0003" w:tentative="1">
      <w:start w:val="1"/>
      <w:numFmt w:val="bullet"/>
      <w:lvlText w:val="o"/>
      <w:lvlJc w:val="left"/>
      <w:pPr>
        <w:ind w:left="3960" w:hanging="360"/>
      </w:pPr>
      <w:rPr>
        <w:rFonts w:ascii="Courier New" w:hAnsi="Courier New" w:cs="Courier New" w:hint="default"/>
      </w:rPr>
    </w:lvl>
    <w:lvl w:ilvl="2" w:tplc="040E0005" w:tentative="1">
      <w:start w:val="1"/>
      <w:numFmt w:val="bullet"/>
      <w:lvlText w:val=""/>
      <w:lvlJc w:val="left"/>
      <w:pPr>
        <w:ind w:left="4680" w:hanging="360"/>
      </w:pPr>
      <w:rPr>
        <w:rFonts w:ascii="Wingdings" w:hAnsi="Wingdings" w:hint="default"/>
      </w:rPr>
    </w:lvl>
    <w:lvl w:ilvl="3" w:tplc="040E0001" w:tentative="1">
      <w:start w:val="1"/>
      <w:numFmt w:val="bullet"/>
      <w:lvlText w:val=""/>
      <w:lvlJc w:val="left"/>
      <w:pPr>
        <w:ind w:left="5400" w:hanging="360"/>
      </w:pPr>
      <w:rPr>
        <w:rFonts w:ascii="Symbol" w:hAnsi="Symbol" w:hint="default"/>
      </w:rPr>
    </w:lvl>
    <w:lvl w:ilvl="4" w:tplc="040E0003" w:tentative="1">
      <w:start w:val="1"/>
      <w:numFmt w:val="bullet"/>
      <w:lvlText w:val="o"/>
      <w:lvlJc w:val="left"/>
      <w:pPr>
        <w:ind w:left="6120" w:hanging="360"/>
      </w:pPr>
      <w:rPr>
        <w:rFonts w:ascii="Courier New" w:hAnsi="Courier New" w:cs="Courier New" w:hint="default"/>
      </w:rPr>
    </w:lvl>
    <w:lvl w:ilvl="5" w:tplc="040E0005" w:tentative="1">
      <w:start w:val="1"/>
      <w:numFmt w:val="bullet"/>
      <w:lvlText w:val=""/>
      <w:lvlJc w:val="left"/>
      <w:pPr>
        <w:ind w:left="6840" w:hanging="360"/>
      </w:pPr>
      <w:rPr>
        <w:rFonts w:ascii="Wingdings" w:hAnsi="Wingdings" w:hint="default"/>
      </w:rPr>
    </w:lvl>
    <w:lvl w:ilvl="6" w:tplc="040E0001" w:tentative="1">
      <w:start w:val="1"/>
      <w:numFmt w:val="bullet"/>
      <w:lvlText w:val=""/>
      <w:lvlJc w:val="left"/>
      <w:pPr>
        <w:ind w:left="7560" w:hanging="360"/>
      </w:pPr>
      <w:rPr>
        <w:rFonts w:ascii="Symbol" w:hAnsi="Symbol" w:hint="default"/>
      </w:rPr>
    </w:lvl>
    <w:lvl w:ilvl="7" w:tplc="040E0003" w:tentative="1">
      <w:start w:val="1"/>
      <w:numFmt w:val="bullet"/>
      <w:lvlText w:val="o"/>
      <w:lvlJc w:val="left"/>
      <w:pPr>
        <w:ind w:left="8280" w:hanging="360"/>
      </w:pPr>
      <w:rPr>
        <w:rFonts w:ascii="Courier New" w:hAnsi="Courier New" w:cs="Courier New" w:hint="default"/>
      </w:rPr>
    </w:lvl>
    <w:lvl w:ilvl="8" w:tplc="040E0005" w:tentative="1">
      <w:start w:val="1"/>
      <w:numFmt w:val="bullet"/>
      <w:lvlText w:val=""/>
      <w:lvlJc w:val="left"/>
      <w:pPr>
        <w:ind w:left="9000" w:hanging="360"/>
      </w:pPr>
      <w:rPr>
        <w:rFonts w:ascii="Wingdings" w:hAnsi="Wingdings" w:hint="default"/>
      </w:rPr>
    </w:lvl>
  </w:abstractNum>
  <w:abstractNum w:abstractNumId="26" w15:restartNumberingAfterBreak="0">
    <w:nsid w:val="49C97196"/>
    <w:multiLevelType w:val="hybridMultilevel"/>
    <w:tmpl w:val="C78247B2"/>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7" w15:restartNumberingAfterBreak="0">
    <w:nsid w:val="4DB8493B"/>
    <w:multiLevelType w:val="hybridMultilevel"/>
    <w:tmpl w:val="62A6113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8" w15:restartNumberingAfterBreak="0">
    <w:nsid w:val="4F9F45FC"/>
    <w:multiLevelType w:val="hybridMultilevel"/>
    <w:tmpl w:val="49A0DB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5BFB779D"/>
    <w:multiLevelType w:val="hybridMultilevel"/>
    <w:tmpl w:val="D3784C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02C3F9F"/>
    <w:multiLevelType w:val="hybridMultilevel"/>
    <w:tmpl w:val="F5DC8F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04B66BF"/>
    <w:multiLevelType w:val="hybridMultilevel"/>
    <w:tmpl w:val="B266A8C6"/>
    <w:lvl w:ilvl="0" w:tplc="040E0001">
      <w:start w:val="1"/>
      <w:numFmt w:val="bullet"/>
      <w:lvlText w:val=""/>
      <w:lvlJc w:val="left"/>
      <w:pPr>
        <w:tabs>
          <w:tab w:val="num" w:pos="1440"/>
        </w:tabs>
        <w:ind w:left="1440" w:hanging="360"/>
      </w:pPr>
      <w:rPr>
        <w:rFonts w:ascii="Symbol" w:hAnsi="Symbol" w:hint="default"/>
      </w:rPr>
    </w:lvl>
    <w:lvl w:ilvl="1" w:tplc="040E0003">
      <w:start w:val="1"/>
      <w:numFmt w:val="bullet"/>
      <w:lvlText w:val="o"/>
      <w:lvlJc w:val="left"/>
      <w:pPr>
        <w:tabs>
          <w:tab w:val="num" w:pos="2160"/>
        </w:tabs>
        <w:ind w:left="2160" w:hanging="360"/>
      </w:pPr>
      <w:rPr>
        <w:rFonts w:ascii="Courier New" w:hAnsi="Courier New" w:cs="Courier New" w:hint="default"/>
      </w:rPr>
    </w:lvl>
    <w:lvl w:ilvl="2" w:tplc="230A7A50">
      <w:numFmt w:val="bullet"/>
      <w:lvlText w:val=""/>
      <w:lvlJc w:val="left"/>
      <w:pPr>
        <w:ind w:left="2880" w:hanging="360"/>
      </w:pPr>
      <w:rPr>
        <w:rFonts w:ascii="Wingdings" w:eastAsia="Times New Roman" w:hAnsi="Wingdings" w:cs="Times New Roman"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4AC64D2"/>
    <w:multiLevelType w:val="hybridMultilevel"/>
    <w:tmpl w:val="3CB0B0DC"/>
    <w:lvl w:ilvl="0" w:tplc="040E0001">
      <w:start w:val="1"/>
      <w:numFmt w:val="bullet"/>
      <w:lvlText w:val=""/>
      <w:lvlJc w:val="left"/>
      <w:pPr>
        <w:ind w:left="1776" w:hanging="360"/>
      </w:pPr>
      <w:rPr>
        <w:rFonts w:ascii="Symbol" w:hAnsi="Symbol"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33" w15:restartNumberingAfterBreak="0">
    <w:nsid w:val="66E23207"/>
    <w:multiLevelType w:val="multilevel"/>
    <w:tmpl w:val="CE1E110E"/>
    <w:lvl w:ilvl="0">
      <w:start w:val="1"/>
      <w:numFmt w:val="bullet"/>
      <w:lvlText w:val=""/>
      <w:lvlJc w:val="left"/>
      <w:pPr>
        <w:ind w:left="720" w:hanging="360"/>
      </w:pPr>
      <w:rPr>
        <w:rFonts w:ascii="Symbol" w:hAnsi="Symbol" w:hint="default"/>
        <w:b w:val="0"/>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9216517"/>
    <w:multiLevelType w:val="hybridMultilevel"/>
    <w:tmpl w:val="C76C08B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5" w15:restartNumberingAfterBreak="0">
    <w:nsid w:val="69954C0C"/>
    <w:multiLevelType w:val="hybridMultilevel"/>
    <w:tmpl w:val="5A584BC4"/>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6" w15:restartNumberingAfterBreak="0">
    <w:nsid w:val="6E1323AC"/>
    <w:multiLevelType w:val="hybridMultilevel"/>
    <w:tmpl w:val="D088AC5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7" w15:restartNumberingAfterBreak="0">
    <w:nsid w:val="6E8B195C"/>
    <w:multiLevelType w:val="hybridMultilevel"/>
    <w:tmpl w:val="17CEB7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6F3D4F76"/>
    <w:multiLevelType w:val="hybridMultilevel"/>
    <w:tmpl w:val="687AA7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07216C6"/>
    <w:multiLevelType w:val="multilevel"/>
    <w:tmpl w:val="D520A8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2AE6090"/>
    <w:multiLevelType w:val="multilevel"/>
    <w:tmpl w:val="7366A6E4"/>
    <w:lvl w:ilvl="0">
      <w:numFmt w:val="bullet"/>
      <w:lvlText w:val="•"/>
      <w:lvlJc w:val="left"/>
      <w:rPr>
        <w:position w:val="-2"/>
        <w:rtl w:val="0"/>
      </w:rPr>
    </w:lvl>
    <w:lvl w:ilvl="1">
      <w:start w:va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41" w15:restartNumberingAfterBreak="0">
    <w:nsid w:val="74053CEB"/>
    <w:multiLevelType w:val="hybridMultilevel"/>
    <w:tmpl w:val="732A880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2" w15:restartNumberingAfterBreak="0">
    <w:nsid w:val="746812A5"/>
    <w:multiLevelType w:val="hybridMultilevel"/>
    <w:tmpl w:val="E62491DA"/>
    <w:lvl w:ilvl="0" w:tplc="040E0001">
      <w:start w:val="1"/>
      <w:numFmt w:val="bullet"/>
      <w:lvlText w:val=""/>
      <w:lvlJc w:val="left"/>
      <w:pPr>
        <w:ind w:left="720" w:hanging="360"/>
      </w:pPr>
      <w:rPr>
        <w:rFonts w:ascii="Symbol" w:hAnsi="Symbol" w:hint="default"/>
      </w:rPr>
    </w:lvl>
    <w:lvl w:ilvl="1" w:tplc="30D49A86">
      <w:start w:val="7"/>
      <w:numFmt w:val="bullet"/>
      <w:lvlText w:val="-"/>
      <w:lvlJc w:val="left"/>
      <w:pPr>
        <w:ind w:left="1440" w:hanging="360"/>
      </w:pPr>
      <w:rPr>
        <w:rFonts w:ascii="Tahoma" w:eastAsia="Times New Roman" w:hAnsi="Tahoma" w:cs="Tahoma"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78AB15E3"/>
    <w:multiLevelType w:val="hybridMultilevel"/>
    <w:tmpl w:val="9F6457B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793361ED"/>
    <w:multiLevelType w:val="hybridMultilevel"/>
    <w:tmpl w:val="D1EE4318"/>
    <w:lvl w:ilvl="0" w:tplc="C92E98E4">
      <w:start w:val="1"/>
      <w:numFmt w:val="lowerLetter"/>
      <w:lvlText w:val="%1."/>
      <w:lvlJc w:val="left"/>
      <w:pPr>
        <w:ind w:left="1068" w:hanging="360"/>
      </w:pPr>
      <w:rPr>
        <w:rFonts w:hint="default"/>
      </w:rPr>
    </w:lvl>
    <w:lvl w:ilvl="1" w:tplc="040E0019">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5" w15:restartNumberingAfterBreak="0">
    <w:nsid w:val="79C70EAD"/>
    <w:multiLevelType w:val="hybridMultilevel"/>
    <w:tmpl w:val="5A061A0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79DF3823"/>
    <w:multiLevelType w:val="hybridMultilevel"/>
    <w:tmpl w:val="993E863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D81D7A"/>
    <w:multiLevelType w:val="hybridMultilevel"/>
    <w:tmpl w:val="F664E6A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86392781">
    <w:abstractNumId w:val="17"/>
  </w:num>
  <w:num w:numId="2" w16cid:durableId="722675898">
    <w:abstractNumId w:val="31"/>
  </w:num>
  <w:num w:numId="3" w16cid:durableId="1230076603">
    <w:abstractNumId w:val="9"/>
  </w:num>
  <w:num w:numId="4" w16cid:durableId="1988123970">
    <w:abstractNumId w:val="11"/>
  </w:num>
  <w:num w:numId="5" w16cid:durableId="1735548385">
    <w:abstractNumId w:val="33"/>
  </w:num>
  <w:num w:numId="6" w16cid:durableId="1626542736">
    <w:abstractNumId w:val="3"/>
  </w:num>
  <w:num w:numId="7" w16cid:durableId="1360930294">
    <w:abstractNumId w:val="10"/>
  </w:num>
  <w:num w:numId="8" w16cid:durableId="211581191">
    <w:abstractNumId w:val="23"/>
  </w:num>
  <w:num w:numId="9" w16cid:durableId="467091399">
    <w:abstractNumId w:val="16"/>
  </w:num>
  <w:num w:numId="10" w16cid:durableId="113987624">
    <w:abstractNumId w:val="38"/>
  </w:num>
  <w:num w:numId="11" w16cid:durableId="1900750915">
    <w:abstractNumId w:val="44"/>
  </w:num>
  <w:num w:numId="12" w16cid:durableId="1213809244">
    <w:abstractNumId w:val="26"/>
  </w:num>
  <w:num w:numId="13" w16cid:durableId="1466655290">
    <w:abstractNumId w:val="18"/>
  </w:num>
  <w:num w:numId="14" w16cid:durableId="1351420560">
    <w:abstractNumId w:val="32"/>
  </w:num>
  <w:num w:numId="15" w16cid:durableId="1832022123">
    <w:abstractNumId w:val="22"/>
  </w:num>
  <w:num w:numId="16" w16cid:durableId="333650526">
    <w:abstractNumId w:val="46"/>
  </w:num>
  <w:num w:numId="17" w16cid:durableId="622661257">
    <w:abstractNumId w:val="41"/>
  </w:num>
  <w:num w:numId="18" w16cid:durableId="1215387453">
    <w:abstractNumId w:val="19"/>
  </w:num>
  <w:num w:numId="19" w16cid:durableId="1057389405">
    <w:abstractNumId w:val="34"/>
  </w:num>
  <w:num w:numId="20" w16cid:durableId="1557470945">
    <w:abstractNumId w:val="40"/>
  </w:num>
  <w:num w:numId="21" w16cid:durableId="156848939">
    <w:abstractNumId w:val="27"/>
  </w:num>
  <w:num w:numId="22" w16cid:durableId="71896560">
    <w:abstractNumId w:val="25"/>
  </w:num>
  <w:num w:numId="23" w16cid:durableId="1270357110">
    <w:abstractNumId w:val="24"/>
  </w:num>
  <w:num w:numId="24" w16cid:durableId="1105610423">
    <w:abstractNumId w:val="42"/>
  </w:num>
  <w:num w:numId="25" w16cid:durableId="452330553">
    <w:abstractNumId w:val="35"/>
  </w:num>
  <w:num w:numId="26" w16cid:durableId="1945451774">
    <w:abstractNumId w:val="7"/>
  </w:num>
  <w:num w:numId="27" w16cid:durableId="232666559">
    <w:abstractNumId w:val="29"/>
  </w:num>
  <w:num w:numId="28" w16cid:durableId="30694969">
    <w:abstractNumId w:val="20"/>
  </w:num>
  <w:num w:numId="29" w16cid:durableId="2059280316">
    <w:abstractNumId w:val="45"/>
  </w:num>
  <w:num w:numId="30" w16cid:durableId="323751389">
    <w:abstractNumId w:val="6"/>
  </w:num>
  <w:num w:numId="31" w16cid:durableId="578634293">
    <w:abstractNumId w:val="47"/>
  </w:num>
  <w:num w:numId="32" w16cid:durableId="258605177">
    <w:abstractNumId w:val="1"/>
  </w:num>
  <w:num w:numId="33" w16cid:durableId="1686318938">
    <w:abstractNumId w:val="15"/>
  </w:num>
  <w:num w:numId="34" w16cid:durableId="1376999698">
    <w:abstractNumId w:val="4"/>
  </w:num>
  <w:num w:numId="35" w16cid:durableId="1794788692">
    <w:abstractNumId w:val="0"/>
  </w:num>
  <w:num w:numId="36" w16cid:durableId="1723600164">
    <w:abstractNumId w:val="13"/>
  </w:num>
  <w:num w:numId="37" w16cid:durableId="1503279002">
    <w:abstractNumId w:val="28"/>
  </w:num>
  <w:num w:numId="38" w16cid:durableId="993411708">
    <w:abstractNumId w:val="43"/>
  </w:num>
  <w:num w:numId="39" w16cid:durableId="1052727127">
    <w:abstractNumId w:val="12"/>
  </w:num>
  <w:num w:numId="40" w16cid:durableId="2095122662">
    <w:abstractNumId w:val="36"/>
  </w:num>
  <w:num w:numId="41" w16cid:durableId="275453575">
    <w:abstractNumId w:val="30"/>
  </w:num>
  <w:num w:numId="42" w16cid:durableId="2117408116">
    <w:abstractNumId w:val="14"/>
  </w:num>
  <w:num w:numId="43" w16cid:durableId="755126908">
    <w:abstractNumId w:val="8"/>
  </w:num>
  <w:num w:numId="44" w16cid:durableId="1013536255">
    <w:abstractNumId w:val="37"/>
  </w:num>
  <w:num w:numId="45" w16cid:durableId="2029872605">
    <w:abstractNumId w:val="5"/>
  </w:num>
  <w:num w:numId="46" w16cid:durableId="1172992945">
    <w:abstractNumId w:val="39"/>
  </w:num>
  <w:num w:numId="47" w16cid:durableId="1910072324">
    <w:abstractNumId w:val="2"/>
  </w:num>
  <w:num w:numId="48" w16cid:durableId="166351147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CB3"/>
    <w:rsid w:val="00001917"/>
    <w:rsid w:val="00001C27"/>
    <w:rsid w:val="00003151"/>
    <w:rsid w:val="00003C88"/>
    <w:rsid w:val="00004067"/>
    <w:rsid w:val="00006A14"/>
    <w:rsid w:val="00007D9B"/>
    <w:rsid w:val="00012490"/>
    <w:rsid w:val="000136A7"/>
    <w:rsid w:val="00020BDB"/>
    <w:rsid w:val="0002356E"/>
    <w:rsid w:val="00023799"/>
    <w:rsid w:val="00024022"/>
    <w:rsid w:val="0002573C"/>
    <w:rsid w:val="0002639B"/>
    <w:rsid w:val="00027393"/>
    <w:rsid w:val="00027A0F"/>
    <w:rsid w:val="000309EE"/>
    <w:rsid w:val="0003105B"/>
    <w:rsid w:val="00031FAA"/>
    <w:rsid w:val="00035AC4"/>
    <w:rsid w:val="000361E7"/>
    <w:rsid w:val="00036684"/>
    <w:rsid w:val="0003728D"/>
    <w:rsid w:val="00041108"/>
    <w:rsid w:val="00056FD4"/>
    <w:rsid w:val="0006136F"/>
    <w:rsid w:val="00061C87"/>
    <w:rsid w:val="000622E7"/>
    <w:rsid w:val="00063299"/>
    <w:rsid w:val="00066DF6"/>
    <w:rsid w:val="00071EC4"/>
    <w:rsid w:val="000819DD"/>
    <w:rsid w:val="00084F2C"/>
    <w:rsid w:val="000877A8"/>
    <w:rsid w:val="00091E8F"/>
    <w:rsid w:val="000933F4"/>
    <w:rsid w:val="00094382"/>
    <w:rsid w:val="00096884"/>
    <w:rsid w:val="000A13DD"/>
    <w:rsid w:val="000A4C5E"/>
    <w:rsid w:val="000A73AD"/>
    <w:rsid w:val="000B0133"/>
    <w:rsid w:val="000B3D82"/>
    <w:rsid w:val="000B4E2B"/>
    <w:rsid w:val="000C0A50"/>
    <w:rsid w:val="000C0D02"/>
    <w:rsid w:val="000C3F8A"/>
    <w:rsid w:val="000C470E"/>
    <w:rsid w:val="000D78B7"/>
    <w:rsid w:val="000D7CB0"/>
    <w:rsid w:val="000E5A62"/>
    <w:rsid w:val="000F40FC"/>
    <w:rsid w:val="000F4B51"/>
    <w:rsid w:val="000F54F0"/>
    <w:rsid w:val="0010114D"/>
    <w:rsid w:val="001017B4"/>
    <w:rsid w:val="0010413D"/>
    <w:rsid w:val="001063F2"/>
    <w:rsid w:val="00117103"/>
    <w:rsid w:val="00120EB0"/>
    <w:rsid w:val="00122EA8"/>
    <w:rsid w:val="0012387A"/>
    <w:rsid w:val="00127EA9"/>
    <w:rsid w:val="00132FFF"/>
    <w:rsid w:val="0014188D"/>
    <w:rsid w:val="001464D3"/>
    <w:rsid w:val="00150AF5"/>
    <w:rsid w:val="001519C5"/>
    <w:rsid w:val="00152013"/>
    <w:rsid w:val="00152A1E"/>
    <w:rsid w:val="00153824"/>
    <w:rsid w:val="00167F36"/>
    <w:rsid w:val="0017080C"/>
    <w:rsid w:val="00170CF9"/>
    <w:rsid w:val="001752FB"/>
    <w:rsid w:val="001757F5"/>
    <w:rsid w:val="001776A3"/>
    <w:rsid w:val="00183016"/>
    <w:rsid w:val="00183150"/>
    <w:rsid w:val="0018356C"/>
    <w:rsid w:val="00185F47"/>
    <w:rsid w:val="00186901"/>
    <w:rsid w:val="0019008A"/>
    <w:rsid w:val="00190C5B"/>
    <w:rsid w:val="00190D66"/>
    <w:rsid w:val="001923CF"/>
    <w:rsid w:val="00194D3B"/>
    <w:rsid w:val="0019709F"/>
    <w:rsid w:val="00197D31"/>
    <w:rsid w:val="001A3FB0"/>
    <w:rsid w:val="001A70B3"/>
    <w:rsid w:val="001B0027"/>
    <w:rsid w:val="001B4A85"/>
    <w:rsid w:val="001B65F0"/>
    <w:rsid w:val="001C0B1B"/>
    <w:rsid w:val="001C1371"/>
    <w:rsid w:val="001C3EFE"/>
    <w:rsid w:val="001C49A3"/>
    <w:rsid w:val="001C6756"/>
    <w:rsid w:val="001D3F3E"/>
    <w:rsid w:val="001E12AD"/>
    <w:rsid w:val="001E3749"/>
    <w:rsid w:val="001E4B5E"/>
    <w:rsid w:val="001E5E39"/>
    <w:rsid w:val="001E6E64"/>
    <w:rsid w:val="001F5B1B"/>
    <w:rsid w:val="001F62E8"/>
    <w:rsid w:val="00202B52"/>
    <w:rsid w:val="00206D74"/>
    <w:rsid w:val="00211035"/>
    <w:rsid w:val="00212B4E"/>
    <w:rsid w:val="00214F78"/>
    <w:rsid w:val="002160AA"/>
    <w:rsid w:val="0021707B"/>
    <w:rsid w:val="00224C9D"/>
    <w:rsid w:val="00225A44"/>
    <w:rsid w:val="002445C4"/>
    <w:rsid w:val="00251B47"/>
    <w:rsid w:val="00255787"/>
    <w:rsid w:val="002567EC"/>
    <w:rsid w:val="00256C2D"/>
    <w:rsid w:val="00257648"/>
    <w:rsid w:val="00264B02"/>
    <w:rsid w:val="002659F9"/>
    <w:rsid w:val="00266370"/>
    <w:rsid w:val="00267437"/>
    <w:rsid w:val="00267945"/>
    <w:rsid w:val="00270685"/>
    <w:rsid w:val="002759B0"/>
    <w:rsid w:val="00275A67"/>
    <w:rsid w:val="00277D8D"/>
    <w:rsid w:val="0028364C"/>
    <w:rsid w:val="00284108"/>
    <w:rsid w:val="002932E2"/>
    <w:rsid w:val="00297B62"/>
    <w:rsid w:val="002A3CA1"/>
    <w:rsid w:val="002A6CE9"/>
    <w:rsid w:val="002A7176"/>
    <w:rsid w:val="002B3F55"/>
    <w:rsid w:val="002B48CD"/>
    <w:rsid w:val="002C1797"/>
    <w:rsid w:val="002C1C47"/>
    <w:rsid w:val="002C364F"/>
    <w:rsid w:val="002C71C3"/>
    <w:rsid w:val="002C770B"/>
    <w:rsid w:val="002D1BC8"/>
    <w:rsid w:val="002D2C96"/>
    <w:rsid w:val="002D322A"/>
    <w:rsid w:val="002D79A2"/>
    <w:rsid w:val="002E24B4"/>
    <w:rsid w:val="002E4454"/>
    <w:rsid w:val="002E5184"/>
    <w:rsid w:val="002E6822"/>
    <w:rsid w:val="002E79A6"/>
    <w:rsid w:val="002F0CF9"/>
    <w:rsid w:val="002F354C"/>
    <w:rsid w:val="002F7BA0"/>
    <w:rsid w:val="002F7C6E"/>
    <w:rsid w:val="002F7CFC"/>
    <w:rsid w:val="00307928"/>
    <w:rsid w:val="00314C54"/>
    <w:rsid w:val="00316685"/>
    <w:rsid w:val="00316DD6"/>
    <w:rsid w:val="00320FFF"/>
    <w:rsid w:val="00323A14"/>
    <w:rsid w:val="003256B8"/>
    <w:rsid w:val="0032706A"/>
    <w:rsid w:val="00332374"/>
    <w:rsid w:val="00333228"/>
    <w:rsid w:val="003336E1"/>
    <w:rsid w:val="00334554"/>
    <w:rsid w:val="003379CC"/>
    <w:rsid w:val="00340CF6"/>
    <w:rsid w:val="0034341A"/>
    <w:rsid w:val="00343A52"/>
    <w:rsid w:val="00343DC9"/>
    <w:rsid w:val="003461D6"/>
    <w:rsid w:val="00346CBF"/>
    <w:rsid w:val="003515CA"/>
    <w:rsid w:val="00352E20"/>
    <w:rsid w:val="003616DB"/>
    <w:rsid w:val="00361C80"/>
    <w:rsid w:val="00366A96"/>
    <w:rsid w:val="003673B8"/>
    <w:rsid w:val="003677DC"/>
    <w:rsid w:val="00367ACC"/>
    <w:rsid w:val="00371669"/>
    <w:rsid w:val="00372279"/>
    <w:rsid w:val="00376751"/>
    <w:rsid w:val="00384867"/>
    <w:rsid w:val="00387C20"/>
    <w:rsid w:val="003908E8"/>
    <w:rsid w:val="0039203C"/>
    <w:rsid w:val="00392988"/>
    <w:rsid w:val="00392FDA"/>
    <w:rsid w:val="003942BF"/>
    <w:rsid w:val="00395026"/>
    <w:rsid w:val="00397A70"/>
    <w:rsid w:val="00397CC1"/>
    <w:rsid w:val="003A047B"/>
    <w:rsid w:val="003A1102"/>
    <w:rsid w:val="003A373B"/>
    <w:rsid w:val="003A660C"/>
    <w:rsid w:val="003A6749"/>
    <w:rsid w:val="003A72E3"/>
    <w:rsid w:val="003B182E"/>
    <w:rsid w:val="003B459D"/>
    <w:rsid w:val="003B56A1"/>
    <w:rsid w:val="003B7235"/>
    <w:rsid w:val="003C4AC2"/>
    <w:rsid w:val="003C5853"/>
    <w:rsid w:val="003C5EB7"/>
    <w:rsid w:val="003C77CA"/>
    <w:rsid w:val="003D2C42"/>
    <w:rsid w:val="003D2FD1"/>
    <w:rsid w:val="003D3667"/>
    <w:rsid w:val="003D790A"/>
    <w:rsid w:val="003E01E4"/>
    <w:rsid w:val="003E0ECD"/>
    <w:rsid w:val="003E1412"/>
    <w:rsid w:val="003E4255"/>
    <w:rsid w:val="003E4385"/>
    <w:rsid w:val="003E59AA"/>
    <w:rsid w:val="003F06BA"/>
    <w:rsid w:val="003F5EAE"/>
    <w:rsid w:val="003F6DEE"/>
    <w:rsid w:val="0040168E"/>
    <w:rsid w:val="00402A33"/>
    <w:rsid w:val="00404F12"/>
    <w:rsid w:val="00405AD9"/>
    <w:rsid w:val="00407992"/>
    <w:rsid w:val="00414A53"/>
    <w:rsid w:val="00415B1C"/>
    <w:rsid w:val="00421906"/>
    <w:rsid w:val="0042482F"/>
    <w:rsid w:val="00424CD8"/>
    <w:rsid w:val="00424D1A"/>
    <w:rsid w:val="00430401"/>
    <w:rsid w:val="00430C6E"/>
    <w:rsid w:val="00430E63"/>
    <w:rsid w:val="00442F8D"/>
    <w:rsid w:val="00443088"/>
    <w:rsid w:val="004439BB"/>
    <w:rsid w:val="004441FC"/>
    <w:rsid w:val="00453D5E"/>
    <w:rsid w:val="00453DEC"/>
    <w:rsid w:val="004610AF"/>
    <w:rsid w:val="00464629"/>
    <w:rsid w:val="0046553B"/>
    <w:rsid w:val="004661E4"/>
    <w:rsid w:val="004713D9"/>
    <w:rsid w:val="00471BE3"/>
    <w:rsid w:val="0047785C"/>
    <w:rsid w:val="00480929"/>
    <w:rsid w:val="004870B4"/>
    <w:rsid w:val="004879FE"/>
    <w:rsid w:val="00490ACA"/>
    <w:rsid w:val="004916BF"/>
    <w:rsid w:val="0049391E"/>
    <w:rsid w:val="0049506F"/>
    <w:rsid w:val="004A228C"/>
    <w:rsid w:val="004A3CA6"/>
    <w:rsid w:val="004B1D01"/>
    <w:rsid w:val="004B3383"/>
    <w:rsid w:val="004B4243"/>
    <w:rsid w:val="004B5AF0"/>
    <w:rsid w:val="004B6996"/>
    <w:rsid w:val="004B7A0E"/>
    <w:rsid w:val="004C3C81"/>
    <w:rsid w:val="004C4126"/>
    <w:rsid w:val="004C648E"/>
    <w:rsid w:val="004C66C9"/>
    <w:rsid w:val="004D0938"/>
    <w:rsid w:val="004D3FF8"/>
    <w:rsid w:val="004D56D6"/>
    <w:rsid w:val="004D6CF4"/>
    <w:rsid w:val="004E170F"/>
    <w:rsid w:val="004E45E9"/>
    <w:rsid w:val="004E4A4F"/>
    <w:rsid w:val="004F20F7"/>
    <w:rsid w:val="004F2231"/>
    <w:rsid w:val="004F38B4"/>
    <w:rsid w:val="004F3AC7"/>
    <w:rsid w:val="004F3B84"/>
    <w:rsid w:val="004F7EE3"/>
    <w:rsid w:val="0050118A"/>
    <w:rsid w:val="00504BB5"/>
    <w:rsid w:val="00505DC0"/>
    <w:rsid w:val="00505EA3"/>
    <w:rsid w:val="00510F0D"/>
    <w:rsid w:val="0051160D"/>
    <w:rsid w:val="00511E76"/>
    <w:rsid w:val="005138B7"/>
    <w:rsid w:val="00515770"/>
    <w:rsid w:val="0051645A"/>
    <w:rsid w:val="005209DE"/>
    <w:rsid w:val="00524078"/>
    <w:rsid w:val="00524585"/>
    <w:rsid w:val="00527749"/>
    <w:rsid w:val="005308C8"/>
    <w:rsid w:val="00530D48"/>
    <w:rsid w:val="00547B22"/>
    <w:rsid w:val="00547E14"/>
    <w:rsid w:val="005531E9"/>
    <w:rsid w:val="00553274"/>
    <w:rsid w:val="005537E8"/>
    <w:rsid w:val="005616E7"/>
    <w:rsid w:val="00563917"/>
    <w:rsid w:val="00565E0B"/>
    <w:rsid w:val="0057290F"/>
    <w:rsid w:val="0057437D"/>
    <w:rsid w:val="005818B5"/>
    <w:rsid w:val="00582330"/>
    <w:rsid w:val="00583CC6"/>
    <w:rsid w:val="00586F4A"/>
    <w:rsid w:val="0058710A"/>
    <w:rsid w:val="00587A03"/>
    <w:rsid w:val="005900BF"/>
    <w:rsid w:val="00590302"/>
    <w:rsid w:val="00590C62"/>
    <w:rsid w:val="00592017"/>
    <w:rsid w:val="00592FE9"/>
    <w:rsid w:val="005951B2"/>
    <w:rsid w:val="005965EC"/>
    <w:rsid w:val="005974A7"/>
    <w:rsid w:val="0059797D"/>
    <w:rsid w:val="005A64B5"/>
    <w:rsid w:val="005A6CEF"/>
    <w:rsid w:val="005A7570"/>
    <w:rsid w:val="005A7EB1"/>
    <w:rsid w:val="005B495F"/>
    <w:rsid w:val="005B4A58"/>
    <w:rsid w:val="005C1C87"/>
    <w:rsid w:val="005C2435"/>
    <w:rsid w:val="005C2A2F"/>
    <w:rsid w:val="005C3624"/>
    <w:rsid w:val="005C603E"/>
    <w:rsid w:val="005D1CD2"/>
    <w:rsid w:val="005D4540"/>
    <w:rsid w:val="005D7DD7"/>
    <w:rsid w:val="005D7F10"/>
    <w:rsid w:val="005E1AC1"/>
    <w:rsid w:val="005E4C00"/>
    <w:rsid w:val="005E7603"/>
    <w:rsid w:val="005F101A"/>
    <w:rsid w:val="005F41D5"/>
    <w:rsid w:val="00602D76"/>
    <w:rsid w:val="00611542"/>
    <w:rsid w:val="006137FF"/>
    <w:rsid w:val="00615960"/>
    <w:rsid w:val="00622E0F"/>
    <w:rsid w:val="006261AD"/>
    <w:rsid w:val="006301FA"/>
    <w:rsid w:val="006309CB"/>
    <w:rsid w:val="00630A6A"/>
    <w:rsid w:val="00632A55"/>
    <w:rsid w:val="00641DF2"/>
    <w:rsid w:val="006422AF"/>
    <w:rsid w:val="00644CE0"/>
    <w:rsid w:val="006455D2"/>
    <w:rsid w:val="006514C7"/>
    <w:rsid w:val="0065186A"/>
    <w:rsid w:val="0065226F"/>
    <w:rsid w:val="00655658"/>
    <w:rsid w:val="00655B5E"/>
    <w:rsid w:val="0065716D"/>
    <w:rsid w:val="00660D79"/>
    <w:rsid w:val="00661E02"/>
    <w:rsid w:val="00662F84"/>
    <w:rsid w:val="00665238"/>
    <w:rsid w:val="006663F7"/>
    <w:rsid w:val="00671176"/>
    <w:rsid w:val="006735C6"/>
    <w:rsid w:val="00674257"/>
    <w:rsid w:val="00674813"/>
    <w:rsid w:val="00676CE3"/>
    <w:rsid w:val="006855D9"/>
    <w:rsid w:val="00693E01"/>
    <w:rsid w:val="00697B75"/>
    <w:rsid w:val="006A1CB1"/>
    <w:rsid w:val="006A332C"/>
    <w:rsid w:val="006A33D8"/>
    <w:rsid w:val="006A34CA"/>
    <w:rsid w:val="006B0D8C"/>
    <w:rsid w:val="006B22CC"/>
    <w:rsid w:val="006C01EF"/>
    <w:rsid w:val="006C5074"/>
    <w:rsid w:val="006E63D4"/>
    <w:rsid w:val="006F4A83"/>
    <w:rsid w:val="006F63EF"/>
    <w:rsid w:val="006F6E79"/>
    <w:rsid w:val="00703049"/>
    <w:rsid w:val="00713086"/>
    <w:rsid w:val="00713A24"/>
    <w:rsid w:val="0071441C"/>
    <w:rsid w:val="00715975"/>
    <w:rsid w:val="00724739"/>
    <w:rsid w:val="00733B7D"/>
    <w:rsid w:val="00736643"/>
    <w:rsid w:val="007373B5"/>
    <w:rsid w:val="00740E56"/>
    <w:rsid w:val="0074282C"/>
    <w:rsid w:val="00745782"/>
    <w:rsid w:val="0075704C"/>
    <w:rsid w:val="00763E76"/>
    <w:rsid w:val="00764575"/>
    <w:rsid w:val="00770BAB"/>
    <w:rsid w:val="00771910"/>
    <w:rsid w:val="0077338A"/>
    <w:rsid w:val="00782583"/>
    <w:rsid w:val="00782B1F"/>
    <w:rsid w:val="007871DF"/>
    <w:rsid w:val="0079036A"/>
    <w:rsid w:val="00791A7A"/>
    <w:rsid w:val="007949F9"/>
    <w:rsid w:val="00794ED2"/>
    <w:rsid w:val="007A2F76"/>
    <w:rsid w:val="007A347A"/>
    <w:rsid w:val="007A4125"/>
    <w:rsid w:val="007B0609"/>
    <w:rsid w:val="007B52C9"/>
    <w:rsid w:val="007B5FAA"/>
    <w:rsid w:val="007C4E13"/>
    <w:rsid w:val="007D0980"/>
    <w:rsid w:val="007D35FC"/>
    <w:rsid w:val="007D49CE"/>
    <w:rsid w:val="007D7D69"/>
    <w:rsid w:val="007E0874"/>
    <w:rsid w:val="007E5B81"/>
    <w:rsid w:val="007F18D9"/>
    <w:rsid w:val="007F2CF3"/>
    <w:rsid w:val="00804319"/>
    <w:rsid w:val="00810040"/>
    <w:rsid w:val="00812587"/>
    <w:rsid w:val="0081265A"/>
    <w:rsid w:val="008132CD"/>
    <w:rsid w:val="00813BC8"/>
    <w:rsid w:val="00820149"/>
    <w:rsid w:val="0082129F"/>
    <w:rsid w:val="008238BE"/>
    <w:rsid w:val="00824B18"/>
    <w:rsid w:val="00832CF4"/>
    <w:rsid w:val="008338F1"/>
    <w:rsid w:val="0084155E"/>
    <w:rsid w:val="008415D8"/>
    <w:rsid w:val="00843158"/>
    <w:rsid w:val="00845553"/>
    <w:rsid w:val="00847291"/>
    <w:rsid w:val="008508C0"/>
    <w:rsid w:val="008515C9"/>
    <w:rsid w:val="008551F0"/>
    <w:rsid w:val="008755AF"/>
    <w:rsid w:val="0087621C"/>
    <w:rsid w:val="00877656"/>
    <w:rsid w:val="0088331C"/>
    <w:rsid w:val="008839A7"/>
    <w:rsid w:val="00884BFD"/>
    <w:rsid w:val="008877A4"/>
    <w:rsid w:val="0089185B"/>
    <w:rsid w:val="008939CB"/>
    <w:rsid w:val="0089520B"/>
    <w:rsid w:val="008A0781"/>
    <w:rsid w:val="008A1714"/>
    <w:rsid w:val="008A2050"/>
    <w:rsid w:val="008A3F80"/>
    <w:rsid w:val="008B07F9"/>
    <w:rsid w:val="008B6141"/>
    <w:rsid w:val="008B71B1"/>
    <w:rsid w:val="008C3784"/>
    <w:rsid w:val="008C3DC6"/>
    <w:rsid w:val="008C62D8"/>
    <w:rsid w:val="008D0565"/>
    <w:rsid w:val="008D625E"/>
    <w:rsid w:val="008D6A8A"/>
    <w:rsid w:val="008D6CAD"/>
    <w:rsid w:val="008D72AB"/>
    <w:rsid w:val="008E0E37"/>
    <w:rsid w:val="008E3464"/>
    <w:rsid w:val="008F214A"/>
    <w:rsid w:val="009010ED"/>
    <w:rsid w:val="009019E6"/>
    <w:rsid w:val="0090245E"/>
    <w:rsid w:val="009030D3"/>
    <w:rsid w:val="00911DB1"/>
    <w:rsid w:val="009149BC"/>
    <w:rsid w:val="00914B0F"/>
    <w:rsid w:val="00915FEA"/>
    <w:rsid w:val="00917E52"/>
    <w:rsid w:val="00920C5D"/>
    <w:rsid w:val="00920CEE"/>
    <w:rsid w:val="00922DF6"/>
    <w:rsid w:val="00923AB4"/>
    <w:rsid w:val="00923DBB"/>
    <w:rsid w:val="009244D0"/>
    <w:rsid w:val="0092473B"/>
    <w:rsid w:val="00924BA9"/>
    <w:rsid w:val="00925327"/>
    <w:rsid w:val="00927FFD"/>
    <w:rsid w:val="00931343"/>
    <w:rsid w:val="00931CFC"/>
    <w:rsid w:val="009342C6"/>
    <w:rsid w:val="009412DA"/>
    <w:rsid w:val="00942501"/>
    <w:rsid w:val="009429A2"/>
    <w:rsid w:val="009429F2"/>
    <w:rsid w:val="00944229"/>
    <w:rsid w:val="00944606"/>
    <w:rsid w:val="00945776"/>
    <w:rsid w:val="00947258"/>
    <w:rsid w:val="00954CB8"/>
    <w:rsid w:val="00955841"/>
    <w:rsid w:val="009569A4"/>
    <w:rsid w:val="00960F90"/>
    <w:rsid w:val="00961058"/>
    <w:rsid w:val="009614C9"/>
    <w:rsid w:val="00962A98"/>
    <w:rsid w:val="00962BD8"/>
    <w:rsid w:val="009639CF"/>
    <w:rsid w:val="00963F49"/>
    <w:rsid w:val="00970D55"/>
    <w:rsid w:val="00982083"/>
    <w:rsid w:val="00983633"/>
    <w:rsid w:val="00984B6A"/>
    <w:rsid w:val="00985C9C"/>
    <w:rsid w:val="00993227"/>
    <w:rsid w:val="009A3373"/>
    <w:rsid w:val="009A4120"/>
    <w:rsid w:val="009A5352"/>
    <w:rsid w:val="009A59C9"/>
    <w:rsid w:val="009B0607"/>
    <w:rsid w:val="009B1532"/>
    <w:rsid w:val="009B5730"/>
    <w:rsid w:val="009B5DA6"/>
    <w:rsid w:val="009C17BC"/>
    <w:rsid w:val="009C21B2"/>
    <w:rsid w:val="009D172A"/>
    <w:rsid w:val="009D25C9"/>
    <w:rsid w:val="009D2711"/>
    <w:rsid w:val="009D4F31"/>
    <w:rsid w:val="009E09C1"/>
    <w:rsid w:val="009E41C7"/>
    <w:rsid w:val="009E5A4B"/>
    <w:rsid w:val="009F4910"/>
    <w:rsid w:val="00A03A7F"/>
    <w:rsid w:val="00A07497"/>
    <w:rsid w:val="00A10053"/>
    <w:rsid w:val="00A10266"/>
    <w:rsid w:val="00A10E94"/>
    <w:rsid w:val="00A24B5A"/>
    <w:rsid w:val="00A24BCF"/>
    <w:rsid w:val="00A3158C"/>
    <w:rsid w:val="00A315BB"/>
    <w:rsid w:val="00A323B9"/>
    <w:rsid w:val="00A32477"/>
    <w:rsid w:val="00A342E2"/>
    <w:rsid w:val="00A34F74"/>
    <w:rsid w:val="00A35659"/>
    <w:rsid w:val="00A448C3"/>
    <w:rsid w:val="00A45F72"/>
    <w:rsid w:val="00A47FCB"/>
    <w:rsid w:val="00A50117"/>
    <w:rsid w:val="00A502E5"/>
    <w:rsid w:val="00A52160"/>
    <w:rsid w:val="00A5292E"/>
    <w:rsid w:val="00A55027"/>
    <w:rsid w:val="00A65FE0"/>
    <w:rsid w:val="00A71DBA"/>
    <w:rsid w:val="00A76813"/>
    <w:rsid w:val="00A844A6"/>
    <w:rsid w:val="00A85586"/>
    <w:rsid w:val="00A86A9D"/>
    <w:rsid w:val="00A87849"/>
    <w:rsid w:val="00A879F7"/>
    <w:rsid w:val="00A9028E"/>
    <w:rsid w:val="00A92AA7"/>
    <w:rsid w:val="00A93E6E"/>
    <w:rsid w:val="00A967A9"/>
    <w:rsid w:val="00AA0BD0"/>
    <w:rsid w:val="00AA21F0"/>
    <w:rsid w:val="00AA27CC"/>
    <w:rsid w:val="00AA3F2C"/>
    <w:rsid w:val="00AA5138"/>
    <w:rsid w:val="00AB008E"/>
    <w:rsid w:val="00AB4BFA"/>
    <w:rsid w:val="00AB64AA"/>
    <w:rsid w:val="00AC1A16"/>
    <w:rsid w:val="00AC4B0D"/>
    <w:rsid w:val="00AC697E"/>
    <w:rsid w:val="00AC7C2E"/>
    <w:rsid w:val="00AD44FF"/>
    <w:rsid w:val="00AD538B"/>
    <w:rsid w:val="00AD6213"/>
    <w:rsid w:val="00AD6981"/>
    <w:rsid w:val="00AD72B5"/>
    <w:rsid w:val="00AE39B0"/>
    <w:rsid w:val="00AE61D4"/>
    <w:rsid w:val="00AF5716"/>
    <w:rsid w:val="00AF7B13"/>
    <w:rsid w:val="00B01F5C"/>
    <w:rsid w:val="00B021AE"/>
    <w:rsid w:val="00B1161C"/>
    <w:rsid w:val="00B16906"/>
    <w:rsid w:val="00B23590"/>
    <w:rsid w:val="00B3696A"/>
    <w:rsid w:val="00B37012"/>
    <w:rsid w:val="00B3777F"/>
    <w:rsid w:val="00B40543"/>
    <w:rsid w:val="00B42410"/>
    <w:rsid w:val="00B42EDC"/>
    <w:rsid w:val="00B45A0B"/>
    <w:rsid w:val="00B51692"/>
    <w:rsid w:val="00B5311A"/>
    <w:rsid w:val="00B53829"/>
    <w:rsid w:val="00B53FE2"/>
    <w:rsid w:val="00B5501F"/>
    <w:rsid w:val="00B6047F"/>
    <w:rsid w:val="00B62FA8"/>
    <w:rsid w:val="00B65A95"/>
    <w:rsid w:val="00B662E0"/>
    <w:rsid w:val="00B71F25"/>
    <w:rsid w:val="00B7212F"/>
    <w:rsid w:val="00B722D1"/>
    <w:rsid w:val="00B72F34"/>
    <w:rsid w:val="00B77D91"/>
    <w:rsid w:val="00B77F4F"/>
    <w:rsid w:val="00B82328"/>
    <w:rsid w:val="00B97E1E"/>
    <w:rsid w:val="00BA0BDD"/>
    <w:rsid w:val="00BA1686"/>
    <w:rsid w:val="00BA2A5E"/>
    <w:rsid w:val="00BA3C5B"/>
    <w:rsid w:val="00BA6F3B"/>
    <w:rsid w:val="00BB00B6"/>
    <w:rsid w:val="00BB0BCA"/>
    <w:rsid w:val="00BB10A3"/>
    <w:rsid w:val="00BB4D93"/>
    <w:rsid w:val="00BB504B"/>
    <w:rsid w:val="00BB53DA"/>
    <w:rsid w:val="00BC7876"/>
    <w:rsid w:val="00BC7A46"/>
    <w:rsid w:val="00BD0FB4"/>
    <w:rsid w:val="00BD253E"/>
    <w:rsid w:val="00BD3C62"/>
    <w:rsid w:val="00BD5712"/>
    <w:rsid w:val="00BE096D"/>
    <w:rsid w:val="00BE300D"/>
    <w:rsid w:val="00BE7FF7"/>
    <w:rsid w:val="00BF0006"/>
    <w:rsid w:val="00BF2B0B"/>
    <w:rsid w:val="00C007A9"/>
    <w:rsid w:val="00C04140"/>
    <w:rsid w:val="00C04770"/>
    <w:rsid w:val="00C04949"/>
    <w:rsid w:val="00C065D3"/>
    <w:rsid w:val="00C0689F"/>
    <w:rsid w:val="00C106C3"/>
    <w:rsid w:val="00C12CD1"/>
    <w:rsid w:val="00C14C2A"/>
    <w:rsid w:val="00C14D1A"/>
    <w:rsid w:val="00C15C76"/>
    <w:rsid w:val="00C2008A"/>
    <w:rsid w:val="00C22EFD"/>
    <w:rsid w:val="00C24150"/>
    <w:rsid w:val="00C2566C"/>
    <w:rsid w:val="00C30708"/>
    <w:rsid w:val="00C333C8"/>
    <w:rsid w:val="00C35839"/>
    <w:rsid w:val="00C37B40"/>
    <w:rsid w:val="00C40FBF"/>
    <w:rsid w:val="00C412F4"/>
    <w:rsid w:val="00C466C7"/>
    <w:rsid w:val="00C46AEA"/>
    <w:rsid w:val="00C5190C"/>
    <w:rsid w:val="00C534D6"/>
    <w:rsid w:val="00C554A5"/>
    <w:rsid w:val="00C57B3A"/>
    <w:rsid w:val="00C64ED1"/>
    <w:rsid w:val="00C71446"/>
    <w:rsid w:val="00C71AE1"/>
    <w:rsid w:val="00C7239C"/>
    <w:rsid w:val="00C725B8"/>
    <w:rsid w:val="00C73AAE"/>
    <w:rsid w:val="00C758DA"/>
    <w:rsid w:val="00C7698C"/>
    <w:rsid w:val="00C7707F"/>
    <w:rsid w:val="00C84632"/>
    <w:rsid w:val="00C91F97"/>
    <w:rsid w:val="00C9236F"/>
    <w:rsid w:val="00C95665"/>
    <w:rsid w:val="00C95C9A"/>
    <w:rsid w:val="00CA491E"/>
    <w:rsid w:val="00CA65E0"/>
    <w:rsid w:val="00CB1590"/>
    <w:rsid w:val="00CB188A"/>
    <w:rsid w:val="00CB1DD0"/>
    <w:rsid w:val="00CB294F"/>
    <w:rsid w:val="00CC60DC"/>
    <w:rsid w:val="00CD03F4"/>
    <w:rsid w:val="00CD20A1"/>
    <w:rsid w:val="00CD77D1"/>
    <w:rsid w:val="00CE169D"/>
    <w:rsid w:val="00CE53CB"/>
    <w:rsid w:val="00CE6D08"/>
    <w:rsid w:val="00CF0CCA"/>
    <w:rsid w:val="00CF0EE0"/>
    <w:rsid w:val="00CF2265"/>
    <w:rsid w:val="00CF2E95"/>
    <w:rsid w:val="00CF38F5"/>
    <w:rsid w:val="00CF4EAF"/>
    <w:rsid w:val="00CF6A75"/>
    <w:rsid w:val="00D00A7D"/>
    <w:rsid w:val="00D00A80"/>
    <w:rsid w:val="00D021E8"/>
    <w:rsid w:val="00D04236"/>
    <w:rsid w:val="00D063FE"/>
    <w:rsid w:val="00D12207"/>
    <w:rsid w:val="00D134F6"/>
    <w:rsid w:val="00D13ED4"/>
    <w:rsid w:val="00D167D9"/>
    <w:rsid w:val="00D207ED"/>
    <w:rsid w:val="00D221B0"/>
    <w:rsid w:val="00D2223A"/>
    <w:rsid w:val="00D24C9E"/>
    <w:rsid w:val="00D272F5"/>
    <w:rsid w:val="00D300CA"/>
    <w:rsid w:val="00D309FB"/>
    <w:rsid w:val="00D34405"/>
    <w:rsid w:val="00D4215F"/>
    <w:rsid w:val="00D4342E"/>
    <w:rsid w:val="00D4370A"/>
    <w:rsid w:val="00D467CF"/>
    <w:rsid w:val="00D46901"/>
    <w:rsid w:val="00D52032"/>
    <w:rsid w:val="00D526B4"/>
    <w:rsid w:val="00D52871"/>
    <w:rsid w:val="00D55577"/>
    <w:rsid w:val="00D5650C"/>
    <w:rsid w:val="00D65849"/>
    <w:rsid w:val="00D67B99"/>
    <w:rsid w:val="00D70DC8"/>
    <w:rsid w:val="00D71B37"/>
    <w:rsid w:val="00D82A18"/>
    <w:rsid w:val="00D850D9"/>
    <w:rsid w:val="00D869A5"/>
    <w:rsid w:val="00D95FB5"/>
    <w:rsid w:val="00D9642C"/>
    <w:rsid w:val="00D96B47"/>
    <w:rsid w:val="00DA06B4"/>
    <w:rsid w:val="00DA0B75"/>
    <w:rsid w:val="00DA498F"/>
    <w:rsid w:val="00DB2807"/>
    <w:rsid w:val="00DB6198"/>
    <w:rsid w:val="00DB6A80"/>
    <w:rsid w:val="00DC5606"/>
    <w:rsid w:val="00DC7BF5"/>
    <w:rsid w:val="00DD018B"/>
    <w:rsid w:val="00DD2064"/>
    <w:rsid w:val="00DD235E"/>
    <w:rsid w:val="00DD4504"/>
    <w:rsid w:val="00DE0858"/>
    <w:rsid w:val="00DE44B9"/>
    <w:rsid w:val="00DE5607"/>
    <w:rsid w:val="00DE606F"/>
    <w:rsid w:val="00DF21D5"/>
    <w:rsid w:val="00DF2B4C"/>
    <w:rsid w:val="00DF3F97"/>
    <w:rsid w:val="00DF4ACB"/>
    <w:rsid w:val="00DF5F18"/>
    <w:rsid w:val="00DF7A13"/>
    <w:rsid w:val="00E02678"/>
    <w:rsid w:val="00E03BFC"/>
    <w:rsid w:val="00E07B3D"/>
    <w:rsid w:val="00E10D41"/>
    <w:rsid w:val="00E13012"/>
    <w:rsid w:val="00E134E5"/>
    <w:rsid w:val="00E1783E"/>
    <w:rsid w:val="00E24122"/>
    <w:rsid w:val="00E26E1E"/>
    <w:rsid w:val="00E33CCC"/>
    <w:rsid w:val="00E34D72"/>
    <w:rsid w:val="00E353DC"/>
    <w:rsid w:val="00E42447"/>
    <w:rsid w:val="00E45D86"/>
    <w:rsid w:val="00E54E99"/>
    <w:rsid w:val="00E55394"/>
    <w:rsid w:val="00E60255"/>
    <w:rsid w:val="00E6086F"/>
    <w:rsid w:val="00E65AA9"/>
    <w:rsid w:val="00E70012"/>
    <w:rsid w:val="00E719C6"/>
    <w:rsid w:val="00E71B6E"/>
    <w:rsid w:val="00E756A2"/>
    <w:rsid w:val="00E75D02"/>
    <w:rsid w:val="00E760BF"/>
    <w:rsid w:val="00E77DE3"/>
    <w:rsid w:val="00E807DE"/>
    <w:rsid w:val="00E80AA8"/>
    <w:rsid w:val="00E80DAA"/>
    <w:rsid w:val="00E85B6E"/>
    <w:rsid w:val="00E876B8"/>
    <w:rsid w:val="00E916DF"/>
    <w:rsid w:val="00E9214F"/>
    <w:rsid w:val="00E92F8A"/>
    <w:rsid w:val="00E940E7"/>
    <w:rsid w:val="00E94802"/>
    <w:rsid w:val="00E94C1D"/>
    <w:rsid w:val="00EA19F9"/>
    <w:rsid w:val="00EA34A6"/>
    <w:rsid w:val="00EA34CA"/>
    <w:rsid w:val="00EA3E71"/>
    <w:rsid w:val="00EA66C9"/>
    <w:rsid w:val="00EA7860"/>
    <w:rsid w:val="00EC0974"/>
    <w:rsid w:val="00EC11A7"/>
    <w:rsid w:val="00EC3DAC"/>
    <w:rsid w:val="00EC4CE1"/>
    <w:rsid w:val="00EC705C"/>
    <w:rsid w:val="00EC747D"/>
    <w:rsid w:val="00ED380A"/>
    <w:rsid w:val="00EE0142"/>
    <w:rsid w:val="00EE0868"/>
    <w:rsid w:val="00EE1B49"/>
    <w:rsid w:val="00EE29F0"/>
    <w:rsid w:val="00EE3EC3"/>
    <w:rsid w:val="00F01E55"/>
    <w:rsid w:val="00F03124"/>
    <w:rsid w:val="00F051D7"/>
    <w:rsid w:val="00F10018"/>
    <w:rsid w:val="00F136EB"/>
    <w:rsid w:val="00F14662"/>
    <w:rsid w:val="00F16D74"/>
    <w:rsid w:val="00F20135"/>
    <w:rsid w:val="00F21CF3"/>
    <w:rsid w:val="00F223C6"/>
    <w:rsid w:val="00F22AFC"/>
    <w:rsid w:val="00F27206"/>
    <w:rsid w:val="00F322A8"/>
    <w:rsid w:val="00F32669"/>
    <w:rsid w:val="00F32EDC"/>
    <w:rsid w:val="00F371CD"/>
    <w:rsid w:val="00F40640"/>
    <w:rsid w:val="00F42EAB"/>
    <w:rsid w:val="00F432B0"/>
    <w:rsid w:val="00F43D37"/>
    <w:rsid w:val="00F448F4"/>
    <w:rsid w:val="00F50DFC"/>
    <w:rsid w:val="00F50FCF"/>
    <w:rsid w:val="00F51683"/>
    <w:rsid w:val="00F53C6E"/>
    <w:rsid w:val="00F60BCB"/>
    <w:rsid w:val="00F62262"/>
    <w:rsid w:val="00F64BC7"/>
    <w:rsid w:val="00F66E94"/>
    <w:rsid w:val="00F82DC3"/>
    <w:rsid w:val="00F82DD8"/>
    <w:rsid w:val="00F84CB3"/>
    <w:rsid w:val="00F855AA"/>
    <w:rsid w:val="00F8638B"/>
    <w:rsid w:val="00F906D0"/>
    <w:rsid w:val="00F91114"/>
    <w:rsid w:val="00F9267E"/>
    <w:rsid w:val="00F943CA"/>
    <w:rsid w:val="00F94510"/>
    <w:rsid w:val="00FA68BF"/>
    <w:rsid w:val="00FA6B30"/>
    <w:rsid w:val="00FB08CF"/>
    <w:rsid w:val="00FB7C9E"/>
    <w:rsid w:val="00FC12A7"/>
    <w:rsid w:val="00FC5BB6"/>
    <w:rsid w:val="00FC6753"/>
    <w:rsid w:val="00FD37D6"/>
    <w:rsid w:val="00FD6A89"/>
    <w:rsid w:val="00FE05CF"/>
    <w:rsid w:val="00FE421C"/>
    <w:rsid w:val="00FE51F7"/>
    <w:rsid w:val="00FE5527"/>
    <w:rsid w:val="00FF0B5F"/>
    <w:rsid w:val="00FF2263"/>
    <w:rsid w:val="00FF3CFE"/>
    <w:rsid w:val="00FF552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0549BD9"/>
  <w15:docId w15:val="{D6B243F3-EB33-433B-AE43-DD7C450E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C3624"/>
  </w:style>
  <w:style w:type="paragraph" w:styleId="Cmsor1">
    <w:name w:val="heading 1"/>
    <w:basedOn w:val="Norml"/>
    <w:next w:val="Norml"/>
    <w:link w:val="Cmsor1Char"/>
    <w:uiPriority w:val="9"/>
    <w:qFormat/>
    <w:rsid w:val="0066523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Cmsor2">
    <w:name w:val="heading 2"/>
    <w:basedOn w:val="Norml"/>
    <w:next w:val="Norml"/>
    <w:link w:val="Cmsor2Char"/>
    <w:uiPriority w:val="9"/>
    <w:unhideWhenUsed/>
    <w:qFormat/>
    <w:rsid w:val="0066523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Cmsor3">
    <w:name w:val="heading 3"/>
    <w:basedOn w:val="Norml"/>
    <w:next w:val="Norml"/>
    <w:link w:val="Cmsor3Char"/>
    <w:uiPriority w:val="9"/>
    <w:unhideWhenUsed/>
    <w:qFormat/>
    <w:rsid w:val="0066523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Cmsor4">
    <w:name w:val="heading 4"/>
    <w:basedOn w:val="Norml"/>
    <w:next w:val="Norml"/>
    <w:link w:val="Cmsor4Char"/>
    <w:uiPriority w:val="9"/>
    <w:semiHidden/>
    <w:unhideWhenUsed/>
    <w:qFormat/>
    <w:rsid w:val="0066523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Cmsor5">
    <w:name w:val="heading 5"/>
    <w:basedOn w:val="Norml"/>
    <w:next w:val="Norml"/>
    <w:link w:val="Cmsor5Char"/>
    <w:uiPriority w:val="9"/>
    <w:semiHidden/>
    <w:unhideWhenUsed/>
    <w:qFormat/>
    <w:rsid w:val="0066523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Cmsor6">
    <w:name w:val="heading 6"/>
    <w:basedOn w:val="Norml"/>
    <w:next w:val="Norml"/>
    <w:link w:val="Cmsor6Char"/>
    <w:uiPriority w:val="9"/>
    <w:semiHidden/>
    <w:unhideWhenUsed/>
    <w:qFormat/>
    <w:rsid w:val="0066523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Cmsor7">
    <w:name w:val="heading 7"/>
    <w:basedOn w:val="Norml"/>
    <w:next w:val="Norml"/>
    <w:link w:val="Cmsor7Char"/>
    <w:uiPriority w:val="9"/>
    <w:semiHidden/>
    <w:unhideWhenUsed/>
    <w:qFormat/>
    <w:rsid w:val="0066523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Cmsor8">
    <w:name w:val="heading 8"/>
    <w:basedOn w:val="Norml"/>
    <w:next w:val="Norml"/>
    <w:link w:val="Cmsor8Char"/>
    <w:uiPriority w:val="9"/>
    <w:semiHidden/>
    <w:unhideWhenUsed/>
    <w:qFormat/>
    <w:rsid w:val="0066523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Cmsor9">
    <w:name w:val="heading 9"/>
    <w:basedOn w:val="Norml"/>
    <w:next w:val="Norml"/>
    <w:link w:val="Cmsor9Char"/>
    <w:uiPriority w:val="9"/>
    <w:semiHidden/>
    <w:unhideWhenUsed/>
    <w:qFormat/>
    <w:rsid w:val="0066523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871DF"/>
    <w:pPr>
      <w:ind w:left="720"/>
      <w:contextualSpacing/>
    </w:pPr>
  </w:style>
  <w:style w:type="character" w:customStyle="1" w:styleId="Cmsor1Char">
    <w:name w:val="Címsor 1 Char"/>
    <w:basedOn w:val="Bekezdsalapbettpusa"/>
    <w:link w:val="Cmsor1"/>
    <w:uiPriority w:val="9"/>
    <w:rsid w:val="00665238"/>
    <w:rPr>
      <w:rFonts w:asciiTheme="majorHAnsi" w:eastAsiaTheme="majorEastAsia" w:hAnsiTheme="majorHAnsi" w:cstheme="majorBidi"/>
      <w:color w:val="1F4E79" w:themeColor="accent1" w:themeShade="80"/>
      <w:sz w:val="36"/>
      <w:szCs w:val="36"/>
    </w:rPr>
  </w:style>
  <w:style w:type="paragraph" w:styleId="Tartalomjegyzkcmsora">
    <w:name w:val="TOC Heading"/>
    <w:basedOn w:val="Cmsor1"/>
    <w:next w:val="Norml"/>
    <w:uiPriority w:val="39"/>
    <w:unhideWhenUsed/>
    <w:qFormat/>
    <w:rsid w:val="00665238"/>
    <w:pPr>
      <w:outlineLvl w:val="9"/>
    </w:pPr>
  </w:style>
  <w:style w:type="paragraph" w:styleId="TJ1">
    <w:name w:val="toc 1"/>
    <w:basedOn w:val="Norml"/>
    <w:next w:val="Norml"/>
    <w:autoRedefine/>
    <w:uiPriority w:val="39"/>
    <w:unhideWhenUsed/>
    <w:rsid w:val="00A92AA7"/>
    <w:pPr>
      <w:tabs>
        <w:tab w:val="left" w:pos="440"/>
        <w:tab w:val="left" w:pos="880"/>
        <w:tab w:val="right" w:leader="dot" w:pos="9062"/>
      </w:tabs>
      <w:spacing w:after="100"/>
    </w:pPr>
  </w:style>
  <w:style w:type="character" w:styleId="Hiperhivatkozs">
    <w:name w:val="Hyperlink"/>
    <w:uiPriority w:val="99"/>
    <w:rsid w:val="00BE300D"/>
    <w:rPr>
      <w:rFonts w:cs="Times New Roman"/>
      <w:color w:val="0000FF"/>
      <w:u w:val="single"/>
    </w:rPr>
  </w:style>
  <w:style w:type="character" w:customStyle="1" w:styleId="Cmsor2Char">
    <w:name w:val="Címsor 2 Char"/>
    <w:basedOn w:val="Bekezdsalapbettpusa"/>
    <w:link w:val="Cmsor2"/>
    <w:uiPriority w:val="9"/>
    <w:rsid w:val="00665238"/>
    <w:rPr>
      <w:rFonts w:asciiTheme="majorHAnsi" w:eastAsiaTheme="majorEastAsia" w:hAnsiTheme="majorHAnsi" w:cstheme="majorBidi"/>
      <w:color w:val="2E74B5" w:themeColor="accent1" w:themeShade="BF"/>
      <w:sz w:val="32"/>
      <w:szCs w:val="32"/>
    </w:rPr>
  </w:style>
  <w:style w:type="character" w:customStyle="1" w:styleId="Cmsor3Char">
    <w:name w:val="Címsor 3 Char"/>
    <w:basedOn w:val="Bekezdsalapbettpusa"/>
    <w:link w:val="Cmsor3"/>
    <w:uiPriority w:val="9"/>
    <w:rsid w:val="00665238"/>
    <w:rPr>
      <w:rFonts w:asciiTheme="majorHAnsi" w:eastAsiaTheme="majorEastAsia" w:hAnsiTheme="majorHAnsi" w:cstheme="majorBidi"/>
      <w:color w:val="2E74B5" w:themeColor="accent1" w:themeShade="BF"/>
      <w:sz w:val="28"/>
      <w:szCs w:val="28"/>
    </w:rPr>
  </w:style>
  <w:style w:type="character" w:customStyle="1" w:styleId="Cmsor4Char">
    <w:name w:val="Címsor 4 Char"/>
    <w:basedOn w:val="Bekezdsalapbettpusa"/>
    <w:link w:val="Cmsor4"/>
    <w:uiPriority w:val="9"/>
    <w:semiHidden/>
    <w:rsid w:val="00665238"/>
    <w:rPr>
      <w:rFonts w:asciiTheme="majorHAnsi" w:eastAsiaTheme="majorEastAsia" w:hAnsiTheme="majorHAnsi" w:cstheme="majorBidi"/>
      <w:color w:val="2E74B5" w:themeColor="accent1" w:themeShade="BF"/>
      <w:sz w:val="24"/>
      <w:szCs w:val="24"/>
    </w:rPr>
  </w:style>
  <w:style w:type="character" w:customStyle="1" w:styleId="Cmsor5Char">
    <w:name w:val="Címsor 5 Char"/>
    <w:basedOn w:val="Bekezdsalapbettpusa"/>
    <w:link w:val="Cmsor5"/>
    <w:uiPriority w:val="9"/>
    <w:semiHidden/>
    <w:rsid w:val="00665238"/>
    <w:rPr>
      <w:rFonts w:asciiTheme="majorHAnsi" w:eastAsiaTheme="majorEastAsia" w:hAnsiTheme="majorHAnsi" w:cstheme="majorBidi"/>
      <w:caps/>
      <w:color w:val="2E74B5" w:themeColor="accent1" w:themeShade="BF"/>
    </w:rPr>
  </w:style>
  <w:style w:type="character" w:customStyle="1" w:styleId="Cmsor6Char">
    <w:name w:val="Címsor 6 Char"/>
    <w:basedOn w:val="Bekezdsalapbettpusa"/>
    <w:link w:val="Cmsor6"/>
    <w:uiPriority w:val="9"/>
    <w:semiHidden/>
    <w:rsid w:val="00665238"/>
    <w:rPr>
      <w:rFonts w:asciiTheme="majorHAnsi" w:eastAsiaTheme="majorEastAsia" w:hAnsiTheme="majorHAnsi" w:cstheme="majorBidi"/>
      <w:i/>
      <w:iCs/>
      <w:caps/>
      <w:color w:val="1F4E79" w:themeColor="accent1" w:themeShade="80"/>
    </w:rPr>
  </w:style>
  <w:style w:type="character" w:customStyle="1" w:styleId="Cmsor7Char">
    <w:name w:val="Címsor 7 Char"/>
    <w:basedOn w:val="Bekezdsalapbettpusa"/>
    <w:link w:val="Cmsor7"/>
    <w:uiPriority w:val="9"/>
    <w:semiHidden/>
    <w:rsid w:val="00665238"/>
    <w:rPr>
      <w:rFonts w:asciiTheme="majorHAnsi" w:eastAsiaTheme="majorEastAsia" w:hAnsiTheme="majorHAnsi" w:cstheme="majorBidi"/>
      <w:b/>
      <w:bCs/>
      <w:color w:val="1F4E79" w:themeColor="accent1" w:themeShade="80"/>
    </w:rPr>
  </w:style>
  <w:style w:type="character" w:customStyle="1" w:styleId="Cmsor8Char">
    <w:name w:val="Címsor 8 Char"/>
    <w:basedOn w:val="Bekezdsalapbettpusa"/>
    <w:link w:val="Cmsor8"/>
    <w:uiPriority w:val="9"/>
    <w:semiHidden/>
    <w:rsid w:val="00665238"/>
    <w:rPr>
      <w:rFonts w:asciiTheme="majorHAnsi" w:eastAsiaTheme="majorEastAsia" w:hAnsiTheme="majorHAnsi" w:cstheme="majorBidi"/>
      <w:b/>
      <w:bCs/>
      <w:i/>
      <w:iCs/>
      <w:color w:val="1F4E79" w:themeColor="accent1" w:themeShade="80"/>
    </w:rPr>
  </w:style>
  <w:style w:type="character" w:customStyle="1" w:styleId="Cmsor9Char">
    <w:name w:val="Címsor 9 Char"/>
    <w:basedOn w:val="Bekezdsalapbettpusa"/>
    <w:link w:val="Cmsor9"/>
    <w:uiPriority w:val="9"/>
    <w:semiHidden/>
    <w:rsid w:val="00665238"/>
    <w:rPr>
      <w:rFonts w:asciiTheme="majorHAnsi" w:eastAsiaTheme="majorEastAsia" w:hAnsiTheme="majorHAnsi" w:cstheme="majorBidi"/>
      <w:i/>
      <w:iCs/>
      <w:color w:val="1F4E79" w:themeColor="accent1" w:themeShade="80"/>
    </w:rPr>
  </w:style>
  <w:style w:type="paragraph" w:styleId="Kpalrs">
    <w:name w:val="caption"/>
    <w:basedOn w:val="Norml"/>
    <w:next w:val="Norml"/>
    <w:uiPriority w:val="35"/>
    <w:semiHidden/>
    <w:unhideWhenUsed/>
    <w:qFormat/>
    <w:rsid w:val="00665238"/>
    <w:pPr>
      <w:spacing w:line="240" w:lineRule="auto"/>
    </w:pPr>
    <w:rPr>
      <w:b/>
      <w:bCs/>
      <w:smallCaps/>
      <w:color w:val="44546A" w:themeColor="text2"/>
    </w:rPr>
  </w:style>
  <w:style w:type="paragraph" w:styleId="Cm">
    <w:name w:val="Title"/>
    <w:basedOn w:val="Norml"/>
    <w:next w:val="Norml"/>
    <w:link w:val="CmChar"/>
    <w:uiPriority w:val="10"/>
    <w:qFormat/>
    <w:rsid w:val="0066523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CmChar">
    <w:name w:val="Cím Char"/>
    <w:basedOn w:val="Bekezdsalapbettpusa"/>
    <w:link w:val="Cm"/>
    <w:uiPriority w:val="10"/>
    <w:rsid w:val="00665238"/>
    <w:rPr>
      <w:rFonts w:asciiTheme="majorHAnsi" w:eastAsiaTheme="majorEastAsia" w:hAnsiTheme="majorHAnsi" w:cstheme="majorBidi"/>
      <w:caps/>
      <w:color w:val="44546A" w:themeColor="text2"/>
      <w:spacing w:val="-15"/>
      <w:sz w:val="72"/>
      <w:szCs w:val="72"/>
    </w:rPr>
  </w:style>
  <w:style w:type="paragraph" w:styleId="Alcm">
    <w:name w:val="Subtitle"/>
    <w:basedOn w:val="Norml"/>
    <w:next w:val="Norml"/>
    <w:link w:val="AlcmChar"/>
    <w:uiPriority w:val="11"/>
    <w:qFormat/>
    <w:rsid w:val="0066523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AlcmChar">
    <w:name w:val="Alcím Char"/>
    <w:basedOn w:val="Bekezdsalapbettpusa"/>
    <w:link w:val="Alcm"/>
    <w:uiPriority w:val="11"/>
    <w:rsid w:val="00665238"/>
    <w:rPr>
      <w:rFonts w:asciiTheme="majorHAnsi" w:eastAsiaTheme="majorEastAsia" w:hAnsiTheme="majorHAnsi" w:cstheme="majorBidi"/>
      <w:color w:val="5B9BD5" w:themeColor="accent1"/>
      <w:sz w:val="28"/>
      <w:szCs w:val="28"/>
    </w:rPr>
  </w:style>
  <w:style w:type="character" w:styleId="Kiemels2">
    <w:name w:val="Strong"/>
    <w:basedOn w:val="Bekezdsalapbettpusa"/>
    <w:uiPriority w:val="22"/>
    <w:qFormat/>
    <w:rsid w:val="00665238"/>
    <w:rPr>
      <w:b/>
      <w:bCs/>
    </w:rPr>
  </w:style>
  <w:style w:type="character" w:styleId="Kiemels">
    <w:name w:val="Emphasis"/>
    <w:basedOn w:val="Bekezdsalapbettpusa"/>
    <w:uiPriority w:val="20"/>
    <w:qFormat/>
    <w:rsid w:val="00665238"/>
    <w:rPr>
      <w:i/>
      <w:iCs/>
    </w:rPr>
  </w:style>
  <w:style w:type="paragraph" w:styleId="Nincstrkz">
    <w:name w:val="No Spacing"/>
    <w:uiPriority w:val="1"/>
    <w:qFormat/>
    <w:rsid w:val="00665238"/>
    <w:pPr>
      <w:spacing w:after="0" w:line="240" w:lineRule="auto"/>
    </w:pPr>
  </w:style>
  <w:style w:type="paragraph" w:styleId="Idzet">
    <w:name w:val="Quote"/>
    <w:basedOn w:val="Norml"/>
    <w:next w:val="Norml"/>
    <w:link w:val="IdzetChar"/>
    <w:uiPriority w:val="29"/>
    <w:qFormat/>
    <w:rsid w:val="00665238"/>
    <w:pPr>
      <w:spacing w:before="120" w:after="120"/>
      <w:ind w:left="720"/>
    </w:pPr>
    <w:rPr>
      <w:color w:val="44546A" w:themeColor="text2"/>
      <w:sz w:val="24"/>
      <w:szCs w:val="24"/>
    </w:rPr>
  </w:style>
  <w:style w:type="character" w:customStyle="1" w:styleId="IdzetChar">
    <w:name w:val="Idézet Char"/>
    <w:basedOn w:val="Bekezdsalapbettpusa"/>
    <w:link w:val="Idzet"/>
    <w:uiPriority w:val="29"/>
    <w:rsid w:val="00665238"/>
    <w:rPr>
      <w:color w:val="44546A" w:themeColor="text2"/>
      <w:sz w:val="24"/>
      <w:szCs w:val="24"/>
    </w:rPr>
  </w:style>
  <w:style w:type="paragraph" w:styleId="Kiemeltidzet">
    <w:name w:val="Intense Quote"/>
    <w:basedOn w:val="Norml"/>
    <w:next w:val="Norml"/>
    <w:link w:val="KiemeltidzetChar"/>
    <w:uiPriority w:val="30"/>
    <w:qFormat/>
    <w:rsid w:val="0066523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KiemeltidzetChar">
    <w:name w:val="Kiemelt idézet Char"/>
    <w:basedOn w:val="Bekezdsalapbettpusa"/>
    <w:link w:val="Kiemeltidzet"/>
    <w:uiPriority w:val="30"/>
    <w:rsid w:val="00665238"/>
    <w:rPr>
      <w:rFonts w:asciiTheme="majorHAnsi" w:eastAsiaTheme="majorEastAsia" w:hAnsiTheme="majorHAnsi" w:cstheme="majorBidi"/>
      <w:color w:val="44546A" w:themeColor="text2"/>
      <w:spacing w:val="-6"/>
      <w:sz w:val="32"/>
      <w:szCs w:val="32"/>
    </w:rPr>
  </w:style>
  <w:style w:type="character" w:styleId="Finomkiemels">
    <w:name w:val="Subtle Emphasis"/>
    <w:basedOn w:val="Bekezdsalapbettpusa"/>
    <w:uiPriority w:val="19"/>
    <w:qFormat/>
    <w:rsid w:val="00665238"/>
    <w:rPr>
      <w:i/>
      <w:iCs/>
      <w:color w:val="595959" w:themeColor="text1" w:themeTint="A6"/>
    </w:rPr>
  </w:style>
  <w:style w:type="character" w:styleId="Erskiemels">
    <w:name w:val="Intense Emphasis"/>
    <w:basedOn w:val="Bekezdsalapbettpusa"/>
    <w:uiPriority w:val="21"/>
    <w:qFormat/>
    <w:rsid w:val="00665238"/>
    <w:rPr>
      <w:b/>
      <w:bCs/>
      <w:i/>
      <w:iCs/>
    </w:rPr>
  </w:style>
  <w:style w:type="character" w:styleId="Finomhivatkozs">
    <w:name w:val="Subtle Reference"/>
    <w:basedOn w:val="Bekezdsalapbettpusa"/>
    <w:uiPriority w:val="31"/>
    <w:qFormat/>
    <w:rsid w:val="00665238"/>
    <w:rPr>
      <w:smallCaps/>
      <w:color w:val="595959" w:themeColor="text1" w:themeTint="A6"/>
      <w:u w:val="none" w:color="7F7F7F" w:themeColor="text1" w:themeTint="80"/>
      <w:bdr w:val="none" w:sz="0" w:space="0" w:color="auto"/>
    </w:rPr>
  </w:style>
  <w:style w:type="character" w:styleId="Ershivatkozs">
    <w:name w:val="Intense Reference"/>
    <w:basedOn w:val="Bekezdsalapbettpusa"/>
    <w:uiPriority w:val="32"/>
    <w:qFormat/>
    <w:rsid w:val="00665238"/>
    <w:rPr>
      <w:b/>
      <w:bCs/>
      <w:smallCaps/>
      <w:color w:val="44546A" w:themeColor="text2"/>
      <w:u w:val="single"/>
    </w:rPr>
  </w:style>
  <w:style w:type="character" w:styleId="Knyvcme">
    <w:name w:val="Book Title"/>
    <w:basedOn w:val="Bekezdsalapbettpusa"/>
    <w:uiPriority w:val="33"/>
    <w:qFormat/>
    <w:rsid w:val="00665238"/>
    <w:rPr>
      <w:b/>
      <w:bCs/>
      <w:smallCaps/>
      <w:spacing w:val="10"/>
    </w:rPr>
  </w:style>
  <w:style w:type="paragraph" w:customStyle="1" w:styleId="Default">
    <w:name w:val="Default"/>
    <w:rsid w:val="00AD538B"/>
    <w:pPr>
      <w:autoSpaceDE w:val="0"/>
      <w:autoSpaceDN w:val="0"/>
      <w:adjustRightInd w:val="0"/>
      <w:spacing w:after="0" w:line="240" w:lineRule="auto"/>
    </w:pPr>
    <w:rPr>
      <w:rFonts w:ascii="Calibri" w:eastAsia="Times New Roman" w:hAnsi="Calibri" w:cs="Calibri"/>
      <w:color w:val="000000"/>
      <w:sz w:val="24"/>
      <w:szCs w:val="24"/>
      <w:lang w:eastAsia="hu-HU"/>
    </w:rPr>
  </w:style>
  <w:style w:type="paragraph" w:customStyle="1" w:styleId="Listaszerbekezds1">
    <w:name w:val="Listaszerű bekezdés1"/>
    <w:basedOn w:val="Norml"/>
    <w:qFormat/>
    <w:rsid w:val="008A0781"/>
    <w:pPr>
      <w:spacing w:before="240" w:after="0" w:line="288" w:lineRule="auto"/>
      <w:ind w:left="720"/>
      <w:contextualSpacing/>
    </w:pPr>
    <w:rPr>
      <w:rFonts w:ascii="EYInterstate Light" w:eastAsia="Times New Roman" w:hAnsi="EYInterstate Light" w:cs="Times New Roman"/>
      <w:szCs w:val="24"/>
      <w:lang w:val="en-US"/>
    </w:rPr>
  </w:style>
  <w:style w:type="paragraph" w:customStyle="1" w:styleId="BodyText21">
    <w:name w:val="Body Text 21"/>
    <w:basedOn w:val="Norml"/>
    <w:rsid w:val="00F223C6"/>
    <w:pPr>
      <w:widowControl w:val="0"/>
      <w:spacing w:after="0" w:line="240" w:lineRule="auto"/>
      <w:jc w:val="both"/>
    </w:pPr>
    <w:rPr>
      <w:rFonts w:ascii="Arial" w:eastAsia="Times New Roman" w:hAnsi="Arial" w:cs="Times New Roman"/>
      <w:szCs w:val="20"/>
      <w:lang w:eastAsia="hu-HU"/>
    </w:rPr>
  </w:style>
  <w:style w:type="paragraph" w:styleId="TJ3">
    <w:name w:val="toc 3"/>
    <w:basedOn w:val="Norml"/>
    <w:next w:val="Norml"/>
    <w:autoRedefine/>
    <w:uiPriority w:val="39"/>
    <w:unhideWhenUsed/>
    <w:rsid w:val="00A92AA7"/>
    <w:pPr>
      <w:tabs>
        <w:tab w:val="left" w:pos="1100"/>
        <w:tab w:val="right" w:leader="dot" w:pos="9062"/>
      </w:tabs>
      <w:spacing w:after="100"/>
      <w:ind w:left="440"/>
    </w:pPr>
  </w:style>
  <w:style w:type="table" w:styleId="Rcsostblzat">
    <w:name w:val="Table Grid"/>
    <w:basedOn w:val="Normltblzat"/>
    <w:uiPriority w:val="39"/>
    <w:rsid w:val="00AE3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7D0980"/>
    <w:rPr>
      <w:sz w:val="16"/>
      <w:szCs w:val="16"/>
    </w:rPr>
  </w:style>
  <w:style w:type="paragraph" w:styleId="Jegyzetszveg">
    <w:name w:val="annotation text"/>
    <w:basedOn w:val="Norml"/>
    <w:link w:val="JegyzetszvegChar"/>
    <w:uiPriority w:val="99"/>
    <w:unhideWhenUsed/>
    <w:rsid w:val="007D0980"/>
    <w:rPr>
      <w:rFonts w:ascii="Calibri" w:eastAsia="Times New Roman" w:hAnsi="Calibri" w:cs="Times New Roman"/>
      <w:sz w:val="20"/>
      <w:szCs w:val="20"/>
    </w:rPr>
  </w:style>
  <w:style w:type="character" w:customStyle="1" w:styleId="JegyzetszvegChar">
    <w:name w:val="Jegyzetszöveg Char"/>
    <w:basedOn w:val="Bekezdsalapbettpusa"/>
    <w:link w:val="Jegyzetszveg"/>
    <w:uiPriority w:val="99"/>
    <w:rsid w:val="007D0980"/>
    <w:rPr>
      <w:rFonts w:ascii="Calibri" w:eastAsia="Times New Roman" w:hAnsi="Calibri" w:cs="Times New Roman"/>
      <w:sz w:val="20"/>
      <w:szCs w:val="20"/>
    </w:rPr>
  </w:style>
  <w:style w:type="paragraph" w:styleId="Buborkszveg">
    <w:name w:val="Balloon Text"/>
    <w:basedOn w:val="Norml"/>
    <w:link w:val="BuborkszvegChar"/>
    <w:uiPriority w:val="99"/>
    <w:semiHidden/>
    <w:unhideWhenUsed/>
    <w:rsid w:val="007D098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D0980"/>
    <w:rPr>
      <w:rFonts w:ascii="Segoe UI" w:hAnsi="Segoe UI" w:cs="Segoe UI"/>
      <w:sz w:val="18"/>
      <w:szCs w:val="18"/>
    </w:rPr>
  </w:style>
  <w:style w:type="paragraph" w:styleId="HTML-kntformzott">
    <w:name w:val="HTML Preformatted"/>
    <w:basedOn w:val="Norml"/>
    <w:link w:val="HTML-kntformzottChar"/>
    <w:uiPriority w:val="99"/>
    <w:semiHidden/>
    <w:unhideWhenUsed/>
    <w:rsid w:val="0047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47785C"/>
    <w:rPr>
      <w:rFonts w:ascii="Courier New" w:eastAsia="Times New Roman" w:hAnsi="Courier New" w:cs="Courier New"/>
      <w:sz w:val="20"/>
      <w:szCs w:val="20"/>
      <w:lang w:eastAsia="hu-HU"/>
    </w:rPr>
  </w:style>
  <w:style w:type="paragraph" w:styleId="lfej">
    <w:name w:val="header"/>
    <w:basedOn w:val="Norml"/>
    <w:link w:val="lfejChar"/>
    <w:uiPriority w:val="99"/>
    <w:unhideWhenUsed/>
    <w:rsid w:val="006A33D8"/>
    <w:pPr>
      <w:tabs>
        <w:tab w:val="center" w:pos="4536"/>
        <w:tab w:val="right" w:pos="9072"/>
      </w:tabs>
      <w:spacing w:after="0" w:line="240" w:lineRule="auto"/>
    </w:pPr>
  </w:style>
  <w:style w:type="character" w:customStyle="1" w:styleId="lfejChar">
    <w:name w:val="Élőfej Char"/>
    <w:basedOn w:val="Bekezdsalapbettpusa"/>
    <w:link w:val="lfej"/>
    <w:uiPriority w:val="99"/>
    <w:rsid w:val="006A33D8"/>
  </w:style>
  <w:style w:type="paragraph" w:styleId="llb">
    <w:name w:val="footer"/>
    <w:basedOn w:val="Norml"/>
    <w:link w:val="llbChar"/>
    <w:uiPriority w:val="99"/>
    <w:unhideWhenUsed/>
    <w:rsid w:val="006A33D8"/>
    <w:pPr>
      <w:tabs>
        <w:tab w:val="center" w:pos="4536"/>
        <w:tab w:val="right" w:pos="9072"/>
      </w:tabs>
      <w:spacing w:after="0" w:line="240" w:lineRule="auto"/>
    </w:pPr>
  </w:style>
  <w:style w:type="character" w:customStyle="1" w:styleId="llbChar">
    <w:name w:val="Élőláb Char"/>
    <w:basedOn w:val="Bekezdsalapbettpusa"/>
    <w:link w:val="llb"/>
    <w:uiPriority w:val="99"/>
    <w:rsid w:val="006A33D8"/>
  </w:style>
  <w:style w:type="paragraph" w:styleId="Megjegyzstrgya">
    <w:name w:val="annotation subject"/>
    <w:basedOn w:val="Jegyzetszveg"/>
    <w:next w:val="Jegyzetszveg"/>
    <w:link w:val="MegjegyzstrgyaChar"/>
    <w:uiPriority w:val="99"/>
    <w:semiHidden/>
    <w:unhideWhenUsed/>
    <w:rsid w:val="003E1412"/>
    <w:pPr>
      <w:spacing w:line="240" w:lineRule="auto"/>
    </w:pPr>
    <w:rPr>
      <w:rFonts w:asciiTheme="minorHAnsi" w:eastAsiaTheme="minorEastAsia" w:hAnsiTheme="minorHAnsi" w:cstheme="minorBidi"/>
      <w:b/>
      <w:bCs/>
    </w:rPr>
  </w:style>
  <w:style w:type="character" w:customStyle="1" w:styleId="MegjegyzstrgyaChar">
    <w:name w:val="Megjegyzés tárgya Char"/>
    <w:basedOn w:val="JegyzetszvegChar"/>
    <w:link w:val="Megjegyzstrgya"/>
    <w:uiPriority w:val="99"/>
    <w:semiHidden/>
    <w:rsid w:val="003E1412"/>
    <w:rPr>
      <w:rFonts w:ascii="Calibri" w:eastAsia="Times New Roman" w:hAnsi="Calibri" w:cs="Times New Roman"/>
      <w:b/>
      <w:bCs/>
      <w:sz w:val="20"/>
      <w:szCs w:val="20"/>
    </w:rPr>
  </w:style>
  <w:style w:type="paragraph" w:styleId="Lbjegyzetszveg">
    <w:name w:val="footnote text"/>
    <w:basedOn w:val="Norml"/>
    <w:link w:val="LbjegyzetszvegChar"/>
    <w:uiPriority w:val="99"/>
    <w:unhideWhenUsed/>
    <w:rsid w:val="00504BB5"/>
    <w:pPr>
      <w:spacing w:after="0" w:line="240" w:lineRule="auto"/>
    </w:pPr>
    <w:rPr>
      <w:sz w:val="20"/>
      <w:szCs w:val="20"/>
    </w:rPr>
  </w:style>
  <w:style w:type="character" w:customStyle="1" w:styleId="LbjegyzetszvegChar">
    <w:name w:val="Lábjegyzetszöveg Char"/>
    <w:basedOn w:val="Bekezdsalapbettpusa"/>
    <w:link w:val="Lbjegyzetszveg"/>
    <w:uiPriority w:val="99"/>
    <w:rsid w:val="00504BB5"/>
    <w:rPr>
      <w:sz w:val="20"/>
      <w:szCs w:val="20"/>
    </w:rPr>
  </w:style>
  <w:style w:type="character" w:styleId="Lbjegyzet-hivatkozs">
    <w:name w:val="footnote reference"/>
    <w:basedOn w:val="Bekezdsalapbettpusa"/>
    <w:uiPriority w:val="99"/>
    <w:semiHidden/>
    <w:unhideWhenUsed/>
    <w:rsid w:val="00504BB5"/>
    <w:rPr>
      <w:vertAlign w:val="superscript"/>
    </w:rPr>
  </w:style>
  <w:style w:type="character" w:customStyle="1" w:styleId="lawnum">
    <w:name w:val="lawnum"/>
    <w:basedOn w:val="Bekezdsalapbettpusa"/>
    <w:rsid w:val="003F6DEE"/>
  </w:style>
  <w:style w:type="character" w:customStyle="1" w:styleId="desc">
    <w:name w:val="desc"/>
    <w:basedOn w:val="Bekezdsalapbettpusa"/>
    <w:rsid w:val="003F6DEE"/>
  </w:style>
  <w:style w:type="character" w:customStyle="1" w:styleId="markedcontent">
    <w:name w:val="markedcontent"/>
    <w:basedOn w:val="Bekezdsalapbettpusa"/>
    <w:rsid w:val="00FE51F7"/>
  </w:style>
  <w:style w:type="paragraph" w:styleId="Vltozat">
    <w:name w:val="Revision"/>
    <w:hidden/>
    <w:uiPriority w:val="99"/>
    <w:semiHidden/>
    <w:rsid w:val="00A87849"/>
    <w:pPr>
      <w:spacing w:after="0" w:line="240" w:lineRule="auto"/>
    </w:pPr>
  </w:style>
  <w:style w:type="paragraph" w:customStyle="1" w:styleId="TL">
    <w:name w:val="TL"/>
    <w:basedOn w:val="Norml"/>
    <w:uiPriority w:val="3"/>
    <w:qFormat/>
    <w:rsid w:val="00655B5E"/>
    <w:pPr>
      <w:spacing w:before="60" w:after="60" w:line="240" w:lineRule="auto"/>
    </w:pPr>
    <w:rPr>
      <w:rFonts w:eastAsia="Times New Roman" w:cs="Calibri"/>
      <w:sz w:val="24"/>
      <w:szCs w:val="24"/>
      <w:lang w:eastAsia="hu-HU"/>
    </w:rPr>
  </w:style>
  <w:style w:type="paragraph" w:styleId="TJ2">
    <w:name w:val="toc 2"/>
    <w:basedOn w:val="Norml"/>
    <w:next w:val="Norml"/>
    <w:autoRedefine/>
    <w:uiPriority w:val="39"/>
    <w:unhideWhenUsed/>
    <w:rsid w:val="00655B5E"/>
    <w:pPr>
      <w:spacing w:after="100" w:line="240" w:lineRule="auto"/>
      <w:ind w:left="220"/>
      <w:jc w:val="both"/>
    </w:pPr>
    <w:rPr>
      <w:rFonts w:eastAsia="Times New Roman" w:cs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02989">
      <w:bodyDiv w:val="1"/>
      <w:marLeft w:val="0"/>
      <w:marRight w:val="0"/>
      <w:marTop w:val="0"/>
      <w:marBottom w:val="0"/>
      <w:divBdr>
        <w:top w:val="none" w:sz="0" w:space="0" w:color="auto"/>
        <w:left w:val="none" w:sz="0" w:space="0" w:color="auto"/>
        <w:bottom w:val="none" w:sz="0" w:space="0" w:color="auto"/>
        <w:right w:val="none" w:sz="0" w:space="0" w:color="auto"/>
      </w:divBdr>
    </w:div>
    <w:div w:id="257759600">
      <w:bodyDiv w:val="1"/>
      <w:marLeft w:val="0"/>
      <w:marRight w:val="0"/>
      <w:marTop w:val="0"/>
      <w:marBottom w:val="0"/>
      <w:divBdr>
        <w:top w:val="none" w:sz="0" w:space="0" w:color="auto"/>
        <w:left w:val="none" w:sz="0" w:space="0" w:color="auto"/>
        <w:bottom w:val="none" w:sz="0" w:space="0" w:color="auto"/>
        <w:right w:val="none" w:sz="0" w:space="0" w:color="auto"/>
      </w:divBdr>
    </w:div>
    <w:div w:id="382868950">
      <w:bodyDiv w:val="1"/>
      <w:marLeft w:val="0"/>
      <w:marRight w:val="0"/>
      <w:marTop w:val="0"/>
      <w:marBottom w:val="0"/>
      <w:divBdr>
        <w:top w:val="none" w:sz="0" w:space="0" w:color="auto"/>
        <w:left w:val="none" w:sz="0" w:space="0" w:color="auto"/>
        <w:bottom w:val="none" w:sz="0" w:space="0" w:color="auto"/>
        <w:right w:val="none" w:sz="0" w:space="0" w:color="auto"/>
      </w:divBdr>
    </w:div>
    <w:div w:id="697975477">
      <w:bodyDiv w:val="1"/>
      <w:marLeft w:val="0"/>
      <w:marRight w:val="0"/>
      <w:marTop w:val="0"/>
      <w:marBottom w:val="0"/>
      <w:divBdr>
        <w:top w:val="none" w:sz="0" w:space="0" w:color="auto"/>
        <w:left w:val="none" w:sz="0" w:space="0" w:color="auto"/>
        <w:bottom w:val="none" w:sz="0" w:space="0" w:color="auto"/>
        <w:right w:val="none" w:sz="0" w:space="0" w:color="auto"/>
      </w:divBdr>
    </w:div>
    <w:div w:id="891120284">
      <w:bodyDiv w:val="1"/>
      <w:marLeft w:val="0"/>
      <w:marRight w:val="0"/>
      <w:marTop w:val="0"/>
      <w:marBottom w:val="0"/>
      <w:divBdr>
        <w:top w:val="none" w:sz="0" w:space="0" w:color="auto"/>
        <w:left w:val="none" w:sz="0" w:space="0" w:color="auto"/>
        <w:bottom w:val="none" w:sz="0" w:space="0" w:color="auto"/>
        <w:right w:val="none" w:sz="0" w:space="0" w:color="auto"/>
      </w:divBdr>
    </w:div>
    <w:div w:id="983006565">
      <w:bodyDiv w:val="1"/>
      <w:marLeft w:val="0"/>
      <w:marRight w:val="0"/>
      <w:marTop w:val="0"/>
      <w:marBottom w:val="0"/>
      <w:divBdr>
        <w:top w:val="none" w:sz="0" w:space="0" w:color="auto"/>
        <w:left w:val="none" w:sz="0" w:space="0" w:color="auto"/>
        <w:bottom w:val="none" w:sz="0" w:space="0" w:color="auto"/>
        <w:right w:val="none" w:sz="0" w:space="0" w:color="auto"/>
      </w:divBdr>
    </w:div>
    <w:div w:id="1714964474">
      <w:bodyDiv w:val="1"/>
      <w:marLeft w:val="0"/>
      <w:marRight w:val="0"/>
      <w:marTop w:val="0"/>
      <w:marBottom w:val="0"/>
      <w:divBdr>
        <w:top w:val="none" w:sz="0" w:space="0" w:color="auto"/>
        <w:left w:val="none" w:sz="0" w:space="0" w:color="auto"/>
        <w:bottom w:val="none" w:sz="0" w:space="0" w:color="auto"/>
        <w:right w:val="none" w:sz="0" w:space="0" w:color="auto"/>
      </w:divBdr>
    </w:div>
    <w:div w:id="180226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tijus.hu/optijus/lawtext/A13I0036.EUP/tvalid/2021.6.14./tsi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tijus.hu/optijus/lawtext/A1300575.EUP/tvalid/2022.7.1./tsid/lawrefk(4)B(1)1(14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ptijus.hu/optijus/lawtext/A1300575.EUP/tvalid/2022.7.1./tsid/lawrefk(4)B(1)1(146)" TargetMode="External"/><Relationship Id="rId4" Type="http://schemas.openxmlformats.org/officeDocument/2006/relationships/settings" Target="settings.xml"/><Relationship Id="rId9" Type="http://schemas.openxmlformats.org/officeDocument/2006/relationships/hyperlink" Target="https://optijus.hu/optijus/lawtext/A13I0036.EUP/tvalid/2021.6.14./tsid/lawrefk(92)B(3)"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670ED-B169-4AEB-A5C0-61F3F1B2F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6871</Words>
  <Characters>47411</Characters>
  <Application>Microsoft Office Word</Application>
  <DocSecurity>0</DocSecurity>
  <Lines>395</Lines>
  <Paragraphs>108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Kadala Miklos</dc:creator>
  <cp:lastModifiedBy>Tóth Andrea</cp:lastModifiedBy>
  <cp:revision>2</cp:revision>
  <cp:lastPrinted>2020-06-09T07:19:00Z</cp:lastPrinted>
  <dcterms:created xsi:type="dcterms:W3CDTF">2024-01-15T09:55:00Z</dcterms:created>
  <dcterms:modified xsi:type="dcterms:W3CDTF">2024-01-15T09:55:00Z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f12af3-0796-431f-a19a-471c0cc3d607_Enabled">
    <vt:lpwstr>true</vt:lpwstr>
  </property>
  <property fmtid="{D5CDD505-2E9C-101B-9397-08002B2CF9AE}" pid="3" name="MSIP_Label_82f12af3-0796-431f-a19a-471c0cc3d607_SetDate">
    <vt:lpwstr>2022-08-09T09:30:07Z</vt:lpwstr>
  </property>
  <property fmtid="{D5CDD505-2E9C-101B-9397-08002B2CF9AE}" pid="4" name="MSIP_Label_82f12af3-0796-431f-a19a-471c0cc3d607_Method">
    <vt:lpwstr>Standard</vt:lpwstr>
  </property>
  <property fmtid="{D5CDD505-2E9C-101B-9397-08002B2CF9AE}" pid="5" name="MSIP_Label_82f12af3-0796-431f-a19a-471c0cc3d607_Name">
    <vt:lpwstr>Üzleti_dokumentum_label</vt:lpwstr>
  </property>
  <property fmtid="{D5CDD505-2E9C-101B-9397-08002B2CF9AE}" pid="6" name="MSIP_Label_82f12af3-0796-431f-a19a-471c0cc3d607_SiteId">
    <vt:lpwstr>3f1a84fb-1d1d-4d38-9411-8d0bfc17bc3f</vt:lpwstr>
  </property>
  <property fmtid="{D5CDD505-2E9C-101B-9397-08002B2CF9AE}" pid="7" name="MSIP_Label_82f12af3-0796-431f-a19a-471c0cc3d607_ActionId">
    <vt:lpwstr>c353d5bb-4412-45ee-8ec8-fb5bf68828bf</vt:lpwstr>
  </property>
  <property fmtid="{D5CDD505-2E9C-101B-9397-08002B2CF9AE}" pid="8" name="MSIP_Label_82f12af3-0796-431f-a19a-471c0cc3d607_ContentBits">
    <vt:lpwstr>0</vt:lpwstr>
  </property>
</Properties>
</file>