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6F" w:rsidRDefault="00C66BF2">
      <w:pPr>
        <w:spacing w:after="319" w:line="259" w:lineRule="auto"/>
        <w:ind w:left="57" w:firstLine="0"/>
        <w:jc w:val="center"/>
      </w:pPr>
      <w:bookmarkStart w:id="0" w:name="_GoBack"/>
      <w:bookmarkEnd w:id="0"/>
      <w:r>
        <w:t xml:space="preserve"> </w:t>
      </w:r>
    </w:p>
    <w:p w:rsidR="00A8646F" w:rsidRDefault="00C66BF2">
      <w:pPr>
        <w:spacing w:after="177" w:line="259" w:lineRule="auto"/>
        <w:ind w:left="0" w:right="9" w:firstLine="0"/>
        <w:jc w:val="center"/>
      </w:pPr>
      <w:r>
        <w:rPr>
          <w:b/>
          <w:sz w:val="28"/>
        </w:rPr>
        <w:t xml:space="preserve">ÜGYFÉLTÁJÉKOZTATÓ „CRS” NYILATKOZATRÓL </w:t>
      </w:r>
    </w:p>
    <w:p w:rsidR="00A8646F" w:rsidRDefault="00C66BF2">
      <w:pPr>
        <w:spacing w:after="272" w:line="259" w:lineRule="auto"/>
        <w:ind w:left="0" w:firstLine="0"/>
        <w:jc w:val="left"/>
      </w:pPr>
      <w:r>
        <w:t xml:space="preserve"> </w:t>
      </w:r>
    </w:p>
    <w:p w:rsidR="00A8646F" w:rsidRDefault="00C66BF2">
      <w:pPr>
        <w:spacing w:after="259" w:line="259" w:lineRule="auto"/>
        <w:ind w:left="355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Miről szól a jogszabály? </w:t>
      </w:r>
    </w:p>
    <w:p w:rsidR="00A8646F" w:rsidRDefault="00C66BF2">
      <w:pPr>
        <w:spacing w:after="29"/>
        <w:ind w:left="-5"/>
      </w:pPr>
      <w:r>
        <w:t>A 2015. évi CXC</w:t>
      </w:r>
      <w:r>
        <w:rPr>
          <w:vertAlign w:val="superscript"/>
        </w:rPr>
        <w:footnoteReference w:id="1"/>
      </w:r>
      <w:r>
        <w:t xml:space="preserve">. törvény kihirdetésével Magyarország részese lett </w:t>
      </w:r>
      <w:r>
        <w:rPr>
          <w:i/>
        </w:rPr>
        <w:t xml:space="preserve">„A Pénzügyi Számlákkal </w:t>
      </w:r>
    </w:p>
    <w:p w:rsidR="00A8646F" w:rsidRDefault="00C66BF2">
      <w:pPr>
        <w:spacing w:after="59" w:line="259" w:lineRule="auto"/>
        <w:ind w:left="-5" w:right="-8"/>
      </w:pPr>
      <w:r>
        <w:rPr>
          <w:i/>
        </w:rPr>
        <w:t xml:space="preserve">Kapcsolatos Információk Automatikus Cseréjéről Szóló, Illetékes Hatóságok Közötti </w:t>
      </w:r>
    </w:p>
    <w:p w:rsidR="00A8646F" w:rsidRDefault="00C66BF2">
      <w:pPr>
        <w:spacing w:after="247"/>
        <w:ind w:left="-5"/>
      </w:pPr>
      <w:r>
        <w:rPr>
          <w:i/>
        </w:rPr>
        <w:t>Többoldalú Megállapodásnak”</w:t>
      </w:r>
      <w:r>
        <w:t>, illetve implementálta a 2014/107/EU irányelvet  (</w:t>
      </w:r>
      <w:r>
        <w:rPr>
          <w:i/>
        </w:rPr>
        <w:t>a továbbiakban együttesen CRS Szabályozás</w:t>
      </w:r>
      <w:r>
        <w:t xml:space="preserve">), melyek fő célja a nemzetközi adóügyi megfelelés előmozdítása az automatikus információcserére épülő kölcsönös adóügyi segítségnyújtáson keresztül. </w:t>
      </w:r>
    </w:p>
    <w:p w:rsidR="00A8646F" w:rsidRDefault="00C66BF2">
      <w:pPr>
        <w:spacing w:after="238"/>
        <w:ind w:left="-5"/>
      </w:pPr>
      <w:r>
        <w:t xml:space="preserve">A </w:t>
      </w:r>
      <w:r>
        <w:rPr>
          <w:b/>
        </w:rPr>
        <w:t>nemzetközi adócsalás és adóelkerülés megakadályozásának egyik leghatékonyabb eszköze</w:t>
      </w:r>
      <w:r>
        <w:t xml:space="preserve"> a hatóságok közötti együttműködés és </w:t>
      </w:r>
      <w:r>
        <w:rPr>
          <w:b/>
        </w:rPr>
        <w:t>az adóügyi információcsere</w:t>
      </w:r>
      <w:r>
        <w:t xml:space="preserve">, mely az államoknak lehetőséget nyújt a nemzetközi adókikerüléssel szembeni hatékonyabb fellépésre. </w:t>
      </w:r>
    </w:p>
    <w:p w:rsidR="00A8646F" w:rsidRDefault="00C66BF2">
      <w:pPr>
        <w:spacing w:after="249"/>
        <w:ind w:left="-5"/>
      </w:pPr>
      <w:r>
        <w:rPr>
          <w:b/>
        </w:rPr>
        <w:t>A CRS Szabályozás alapján</w:t>
      </w:r>
      <w:r>
        <w:t xml:space="preserve"> a </w:t>
      </w:r>
      <w:r>
        <w:rPr>
          <w:b/>
        </w:rPr>
        <w:t xml:space="preserve">részt vevő államok, </w:t>
      </w:r>
      <w:r>
        <w:t xml:space="preserve">hatáskörrel rendelkező </w:t>
      </w:r>
      <w:r>
        <w:rPr>
          <w:b/>
        </w:rPr>
        <w:t>hatóságai</w:t>
      </w:r>
      <w:r>
        <w:t xml:space="preserve"> (</w:t>
      </w:r>
      <w:r>
        <w:rPr>
          <w:i/>
        </w:rPr>
        <w:t>továbbiakban: hatóság</w:t>
      </w:r>
      <w:r>
        <w:t xml:space="preserve">) </w:t>
      </w:r>
      <w:r>
        <w:rPr>
          <w:b/>
        </w:rPr>
        <w:t>automatikus módon információt cserélnek</w:t>
      </w:r>
      <w:r>
        <w:t xml:space="preserve"> a területükön bejegyzett, pénz- és tőkepiaci szereplőknél vezetett, a partnerállamban illetőséggel bíró ügyfelek – CRS Szabályozásban meghatározott – számlái vonatkozásában. </w:t>
      </w:r>
    </w:p>
    <w:p w:rsidR="00A8646F" w:rsidRDefault="00C66BF2">
      <w:pPr>
        <w:spacing w:after="47"/>
        <w:ind w:left="-5"/>
      </w:pPr>
      <w:r>
        <w:t xml:space="preserve">A </w:t>
      </w:r>
      <w:r>
        <w:rPr>
          <w:b/>
        </w:rPr>
        <w:t>pénzügyi információk automatikus cseréjére</w:t>
      </w:r>
      <w:r>
        <w:t xml:space="preserve"> a részes államok hatóságai között meghatározott eljárás alapján </w:t>
      </w:r>
      <w:r>
        <w:rPr>
          <w:b/>
        </w:rPr>
        <w:t>évi rendszerességgel</w:t>
      </w:r>
      <w:r>
        <w:t xml:space="preserve"> </w:t>
      </w:r>
      <w:r>
        <w:rPr>
          <w:b/>
        </w:rPr>
        <w:t>kerül sor.</w:t>
      </w:r>
      <w:r>
        <w:t xml:space="preserve"> A CRS Szabályozás határozza meg a jelentéstételi kötelezettség alá tartozó pénzügyi számlákat, megjelöli az információcsere határidejét és módját. A CRS Szabályozás a tőkejövedelmekre, számlák egyenlegére terjed ki, hatálya alá tartozik a pénzügyi intézmények széles köre (bankok, biztosítók, befektetési alapok), valamint a magánszemélyek és más jogalanyok </w:t>
      </w:r>
    </w:p>
    <w:p w:rsidR="00A8646F" w:rsidRDefault="00C66BF2">
      <w:pPr>
        <w:spacing w:after="253"/>
        <w:ind w:left="-5"/>
      </w:pPr>
      <w:r>
        <w:t xml:space="preserve">(vállalkozások, alapítványok) által birtokolt számlák is. </w:t>
      </w:r>
    </w:p>
    <w:p w:rsidR="00A8646F" w:rsidRDefault="00C66BF2">
      <w:pPr>
        <w:spacing w:after="258"/>
        <w:ind w:left="-5"/>
      </w:pPr>
      <w:r>
        <w:t xml:space="preserve">A Bank eljárását az adó- és egyéb közterhekkel kapcsolatos nemzetközi közigazgatási együttműködés egyes szabályairól szóló 2013. évi XXXVII. törvény, és a kapcsolódó egyéb jogszabályok határozzák meg. </w:t>
      </w:r>
    </w:p>
    <w:p w:rsidR="00A8646F" w:rsidRDefault="00C66BF2">
      <w:pPr>
        <w:spacing w:after="259" w:line="259" w:lineRule="auto"/>
        <w:ind w:left="355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Mely Ügyfelek esetében történik az ellenőrzés?  </w:t>
      </w:r>
    </w:p>
    <w:p w:rsidR="00A8646F" w:rsidRDefault="00C66BF2">
      <w:pPr>
        <w:spacing w:after="259" w:line="259" w:lineRule="auto"/>
        <w:jc w:val="left"/>
      </w:pPr>
      <w:r>
        <w:t xml:space="preserve">A </w:t>
      </w:r>
      <w:r>
        <w:rPr>
          <w:b/>
        </w:rPr>
        <w:t>már meglévő, valamint az új Ügyfelek esetében is</w:t>
      </w:r>
      <w:r>
        <w:t xml:space="preserve">. A törvény hatálya kiterjed a </w:t>
      </w:r>
      <w:r>
        <w:rPr>
          <w:b/>
        </w:rPr>
        <w:t>magánszemély és jogalany Ügyfelekre</w:t>
      </w:r>
      <w:r>
        <w:t xml:space="preserve"> is. </w:t>
      </w:r>
    </w:p>
    <w:p w:rsidR="00A8646F" w:rsidRDefault="00C66BF2">
      <w:pPr>
        <w:spacing w:after="44"/>
        <w:ind w:left="-5"/>
      </w:pPr>
      <w:r>
        <w:t>Meglévő Ügyfélnek minősül a 2015. december 31. napján a Duna Takarék Bank Zrt.-nél (</w:t>
      </w:r>
      <w:r>
        <w:rPr>
          <w:i/>
        </w:rPr>
        <w:t>a továbbiakban: Bank</w:t>
      </w:r>
      <w:r>
        <w:t>) fizetési számla-</w:t>
      </w:r>
      <w:r>
        <w:rPr>
          <w:i/>
        </w:rPr>
        <w:t xml:space="preserve"> (ideértve a lakossági és vállalati bankszámlákat is</w:t>
      </w:r>
      <w:r>
        <w:t xml:space="preserve">), betéti számla-, értékpapír- és ügyfélszámla szerződéssel rendelkező Ügyfél. </w:t>
      </w:r>
    </w:p>
    <w:p w:rsidR="00A8646F" w:rsidRDefault="00C66BF2">
      <w:pPr>
        <w:spacing w:after="258"/>
        <w:ind w:left="-5"/>
      </w:pPr>
      <w:r>
        <w:lastRenderedPageBreak/>
        <w:t xml:space="preserve">Új Ügyfélnek minősül a 2015. december 31. napját követően a Bankkal bankszámla-, betéti számla-, értékpapír- és ügyfélszámla szerződést kötő Ügyfél. </w:t>
      </w:r>
    </w:p>
    <w:p w:rsidR="00A8646F" w:rsidRDefault="00C66BF2">
      <w:pPr>
        <w:tabs>
          <w:tab w:val="center" w:pos="4174"/>
          <w:tab w:val="center" w:pos="8498"/>
        </w:tabs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 törvény alapján milyen adatok számítanak az ellenőrzés forrásának? </w:t>
      </w:r>
      <w:r>
        <w:rPr>
          <w:b/>
        </w:rPr>
        <w:tab/>
        <w:t xml:space="preserve"> </w:t>
      </w:r>
    </w:p>
    <w:p w:rsidR="00A8646F" w:rsidRDefault="00C66BF2">
      <w:pPr>
        <w:spacing w:after="247"/>
        <w:ind w:left="-5"/>
      </w:pPr>
      <w:r>
        <w:t xml:space="preserve">A Bank, a vele bankszámla-, betéti számla- vagy értékpapír- és ügyfélszámla szerződést kötő Ügyfelekről a rendelkezésére álló információk és az Ügyfél illetőségére vonatkozó nyilatkozat tartalma alapján ellenőrzi, az adott Ügyfél vonatkozásában fennáll-e jelentéstételi kötelezettsége. </w:t>
      </w:r>
    </w:p>
    <w:p w:rsidR="00A8646F" w:rsidRDefault="00C66BF2">
      <w:pPr>
        <w:numPr>
          <w:ilvl w:val="0"/>
          <w:numId w:val="1"/>
        </w:numPr>
        <w:spacing w:after="259" w:line="259" w:lineRule="auto"/>
        <w:ind w:hanging="348"/>
        <w:jc w:val="left"/>
      </w:pPr>
      <w:r>
        <w:rPr>
          <w:b/>
        </w:rPr>
        <w:t xml:space="preserve">Mely ügyféladatok kerülnek vizsgálásra </w:t>
      </w:r>
      <w:r>
        <w:t>(ún. indikátorok)</w:t>
      </w:r>
      <w:r>
        <w:rPr>
          <w:b/>
        </w:rPr>
        <w:t xml:space="preserve">? </w:t>
      </w:r>
    </w:p>
    <w:p w:rsidR="00A8646F" w:rsidRDefault="00C66BF2">
      <w:pPr>
        <w:spacing w:after="259" w:line="259" w:lineRule="auto"/>
        <w:jc w:val="left"/>
      </w:pPr>
      <w:r>
        <w:rPr>
          <w:b/>
        </w:rPr>
        <w:t>Magánszemély számlatulajdonos:</w:t>
      </w:r>
      <w:r>
        <w:t xml:space="preserve"> </w:t>
      </w:r>
    </w:p>
    <w:p w:rsidR="00A8646F" w:rsidRDefault="00C66BF2">
      <w:pPr>
        <w:numPr>
          <w:ilvl w:val="0"/>
          <w:numId w:val="2"/>
        </w:numPr>
        <w:ind w:hanging="350"/>
      </w:pPr>
      <w:r>
        <w:t xml:space="preserve">adóügyi illetőség; </w:t>
      </w:r>
    </w:p>
    <w:p w:rsidR="00A8646F" w:rsidRDefault="00C66BF2">
      <w:pPr>
        <w:numPr>
          <w:ilvl w:val="0"/>
          <w:numId w:val="2"/>
        </w:numPr>
        <w:ind w:hanging="350"/>
      </w:pPr>
      <w:r>
        <w:t xml:space="preserve">külföldi levelezési címe, lakcíme; </w:t>
      </w:r>
    </w:p>
    <w:p w:rsidR="00A8646F" w:rsidRDefault="00C66BF2">
      <w:pPr>
        <w:numPr>
          <w:ilvl w:val="0"/>
          <w:numId w:val="2"/>
        </w:numPr>
        <w:ind w:hanging="350"/>
      </w:pPr>
      <w:r>
        <w:t xml:space="preserve">külföldi telefonszáma; </w:t>
      </w:r>
    </w:p>
    <w:p w:rsidR="00A8646F" w:rsidRDefault="00C66BF2">
      <w:pPr>
        <w:numPr>
          <w:ilvl w:val="0"/>
          <w:numId w:val="2"/>
        </w:numPr>
        <w:ind w:hanging="350"/>
      </w:pPr>
      <w:r>
        <w:t xml:space="preserve">adott-e rendszeres átutalási megbízást külföldön vezetett számlára; </w:t>
      </w:r>
    </w:p>
    <w:p w:rsidR="00A8646F" w:rsidRDefault="00C66BF2">
      <w:pPr>
        <w:numPr>
          <w:ilvl w:val="0"/>
          <w:numId w:val="2"/>
        </w:numPr>
        <w:spacing w:after="27"/>
        <w:ind w:hanging="350"/>
      </w:pPr>
      <w:r>
        <w:t xml:space="preserve">külföldi lakcímmel rendelkező személynek adott-e érvényes meghatalmazást vagy aláírási jogosultságot; </w:t>
      </w:r>
    </w:p>
    <w:p w:rsidR="00A8646F" w:rsidRDefault="00C66BF2">
      <w:pPr>
        <w:numPr>
          <w:ilvl w:val="0"/>
          <w:numId w:val="2"/>
        </w:numPr>
        <w:ind w:hanging="350"/>
      </w:pPr>
      <w:r>
        <w:t xml:space="preserve">rendelkezik-e külföldön „postán maradó” vagy „kézbesítési megbízott” levelezési címmel. </w:t>
      </w:r>
    </w:p>
    <w:p w:rsidR="00A8646F" w:rsidRDefault="00C66BF2">
      <w:pPr>
        <w:spacing w:after="271" w:line="259" w:lineRule="auto"/>
        <w:ind w:left="0" w:firstLine="0"/>
        <w:jc w:val="left"/>
      </w:pPr>
      <w:r>
        <w:t xml:space="preserve"> </w:t>
      </w:r>
    </w:p>
    <w:p w:rsidR="00A8646F" w:rsidRDefault="00C66BF2">
      <w:pPr>
        <w:spacing w:after="259" w:line="259" w:lineRule="auto"/>
        <w:jc w:val="left"/>
      </w:pPr>
      <w:r>
        <w:rPr>
          <w:b/>
        </w:rPr>
        <w:t xml:space="preserve">Vállalati számlák esetében, különösen a számlatulajdonos: </w:t>
      </w:r>
    </w:p>
    <w:p w:rsidR="00A8646F" w:rsidRDefault="00C66BF2">
      <w:pPr>
        <w:numPr>
          <w:ilvl w:val="0"/>
          <w:numId w:val="2"/>
        </w:numPr>
        <w:ind w:hanging="350"/>
      </w:pPr>
      <w:r>
        <w:t xml:space="preserve">külföldi székhelye; </w:t>
      </w:r>
    </w:p>
    <w:p w:rsidR="00A8646F" w:rsidRDefault="00C66BF2">
      <w:pPr>
        <w:numPr>
          <w:ilvl w:val="0"/>
          <w:numId w:val="2"/>
        </w:numPr>
        <w:ind w:hanging="350"/>
      </w:pPr>
      <w:r>
        <w:t xml:space="preserve">külföldi bejegyzési helye; </w:t>
      </w:r>
    </w:p>
    <w:p w:rsidR="00A8646F" w:rsidRDefault="00C66BF2">
      <w:pPr>
        <w:numPr>
          <w:ilvl w:val="0"/>
          <w:numId w:val="2"/>
        </w:numPr>
        <w:ind w:hanging="350"/>
      </w:pPr>
      <w:r>
        <w:t xml:space="preserve">egyéb külföldi címe (például központi ügyintézés helye, külföldi levelezési címe). </w:t>
      </w:r>
    </w:p>
    <w:p w:rsidR="00A8646F" w:rsidRDefault="00C66BF2">
      <w:pPr>
        <w:spacing w:after="272" w:line="259" w:lineRule="auto"/>
        <w:ind w:left="0" w:firstLine="0"/>
        <w:jc w:val="left"/>
      </w:pPr>
      <w:r>
        <w:t xml:space="preserve"> </w:t>
      </w:r>
    </w:p>
    <w:p w:rsidR="00A8646F" w:rsidRDefault="00C66BF2">
      <w:pPr>
        <w:numPr>
          <w:ilvl w:val="0"/>
          <w:numId w:val="1"/>
        </w:numPr>
        <w:spacing w:after="259" w:line="259" w:lineRule="auto"/>
        <w:ind w:hanging="348"/>
        <w:jc w:val="left"/>
      </w:pPr>
      <w:r>
        <w:rPr>
          <w:b/>
        </w:rPr>
        <w:t xml:space="preserve">A CRS szempontjából mit jelent a „külföldi” kifejezés? </w:t>
      </w:r>
    </w:p>
    <w:p w:rsidR="00A8646F" w:rsidRDefault="00C66BF2">
      <w:pPr>
        <w:spacing w:after="257" w:line="259" w:lineRule="auto"/>
        <w:ind w:left="-5" w:right="-8"/>
      </w:pPr>
      <w:r>
        <w:t xml:space="preserve">A </w:t>
      </w:r>
      <w:r>
        <w:rPr>
          <w:i/>
        </w:rPr>
        <w:t>„külföld”-</w:t>
      </w:r>
      <w:r>
        <w:t>nek tekintendő Magyarországon kívül, az Európai Unió minden tagállama, valamint „</w:t>
      </w:r>
      <w:r>
        <w:rPr>
          <w:i/>
        </w:rPr>
        <w:t>A Pénzügyi Számlákkal Kapcsolatos Információk Automatikus Cseréjéről Szóló, Illetékes Hatóságok Közötti Többoldalú Megállapodást</w:t>
      </w:r>
      <w:r>
        <w:t xml:space="preserve">” aláíró minden állam. </w:t>
      </w:r>
    </w:p>
    <w:p w:rsidR="00A8646F" w:rsidRDefault="00C66BF2">
      <w:pPr>
        <w:spacing w:after="263"/>
        <w:ind w:left="-5"/>
      </w:pPr>
      <w:r>
        <w:t xml:space="preserve">A Megállapodást aláíró államok listáját </w:t>
      </w:r>
      <w:r>
        <w:rPr>
          <w:i/>
        </w:rPr>
        <w:t>a 2015. évi CXC. törvény 1. számú melléklete</w:t>
      </w:r>
      <w:r>
        <w:t xml:space="preserve"> tartalmazza. </w:t>
      </w:r>
    </w:p>
    <w:p w:rsidR="00A8646F" w:rsidRDefault="00C66BF2">
      <w:pPr>
        <w:spacing w:after="259" w:line="259" w:lineRule="auto"/>
        <w:ind w:left="355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Milyen jelentéstételi kötelezettséget ír elő a törvény? </w:t>
      </w:r>
    </w:p>
    <w:p w:rsidR="00A8646F" w:rsidRDefault="00C66BF2">
      <w:pPr>
        <w:spacing w:after="269"/>
        <w:ind w:left="-5"/>
      </w:pPr>
      <w:r>
        <w:t xml:space="preserve">A lefolytatott átvilágítási eljárások során megállapítottak alapján a Banknak minden évben adatszolgáltatási kötelezettsége keletkezik a Nemzeti Adó és Vámhivatal (NAV) felé, ha a törvényi szabályozás keretei között megállapítja, hogy egy nála vezetett bankszámla, betéti számla, vagy értékpapír- és ügyfélszámla tulajdonosa: </w:t>
      </w:r>
    </w:p>
    <w:p w:rsidR="00A8646F" w:rsidRDefault="00C66BF2">
      <w:pPr>
        <w:numPr>
          <w:ilvl w:val="0"/>
          <w:numId w:val="3"/>
        </w:numPr>
        <w:ind w:hanging="350"/>
      </w:pPr>
      <w:r>
        <w:t xml:space="preserve">Külföldi adóügyi  illetőséggel rendelkező Magánszemély </w:t>
      </w:r>
    </w:p>
    <w:p w:rsidR="00A8646F" w:rsidRDefault="00C66BF2">
      <w:pPr>
        <w:numPr>
          <w:ilvl w:val="0"/>
          <w:numId w:val="3"/>
        </w:numPr>
        <w:ind w:hanging="350"/>
      </w:pPr>
      <w:r>
        <w:t>Külföldi adóügyi  illetőséggel rendelkező Jogalany (</w:t>
      </w:r>
      <w:r>
        <w:rPr>
          <w:i/>
        </w:rPr>
        <w:t>nem magánszemély Ügyfél</w:t>
      </w:r>
      <w:r>
        <w:t xml:space="preserve">); </w:t>
      </w:r>
    </w:p>
    <w:p w:rsidR="00A8646F" w:rsidRDefault="00C66BF2">
      <w:pPr>
        <w:numPr>
          <w:ilvl w:val="0"/>
          <w:numId w:val="3"/>
        </w:numPr>
        <w:ind w:hanging="350"/>
      </w:pPr>
      <w:r>
        <w:lastRenderedPageBreak/>
        <w:t xml:space="preserve">Passzív Nem Pénzügyi Jogalany, amely egy vagy több, külföldi adóügyi illetőséggel rendelkező Ellenőrzést gyakorló személy ellenőrzése alatt áll. </w:t>
      </w:r>
    </w:p>
    <w:p w:rsidR="00A8646F" w:rsidRDefault="00C66BF2">
      <w:pPr>
        <w:spacing w:after="0" w:line="259" w:lineRule="auto"/>
        <w:ind w:left="0" w:firstLine="0"/>
        <w:jc w:val="left"/>
      </w:pPr>
      <w:r>
        <w:t xml:space="preserve"> </w:t>
      </w:r>
    </w:p>
    <w:p w:rsidR="00A8646F" w:rsidRDefault="00C66BF2">
      <w:pPr>
        <w:spacing w:after="251"/>
        <w:ind w:left="-5"/>
      </w:pPr>
      <w:r>
        <w:t xml:space="preserve">Ezen felül a Bank köteles </w:t>
      </w:r>
      <w:r>
        <w:rPr>
          <w:i/>
        </w:rPr>
        <w:t>„Nem dokumentált számlaként”</w:t>
      </w:r>
      <w:r>
        <w:t xml:space="preserve"> jelenteni a NAV felé, ha valamely számlához külföldi </w:t>
      </w:r>
      <w:r>
        <w:rPr>
          <w:i/>
        </w:rPr>
        <w:t>„postán maradó”</w:t>
      </w:r>
      <w:r>
        <w:t xml:space="preserve"> vagy „</w:t>
      </w:r>
      <w:r>
        <w:rPr>
          <w:i/>
        </w:rPr>
        <w:t>kézbesítési megbízott”</w:t>
      </w:r>
      <w:r>
        <w:t xml:space="preserve"> levelezési cím van hozzárendelve és a számla tulajdonosa nem tett az illetőségére vonatkozó nyilatkozatot, vagy nem szolgáltatott az illetőségére vonatkozóan okirati bizonyítékot.  </w:t>
      </w:r>
    </w:p>
    <w:p w:rsidR="00A8646F" w:rsidRDefault="00C66BF2">
      <w:pPr>
        <w:spacing w:after="223" w:line="259" w:lineRule="auto"/>
        <w:jc w:val="left"/>
      </w:pPr>
      <w:r>
        <w:rPr>
          <w:b/>
        </w:rPr>
        <w:t xml:space="preserve">A Bank a jelentéstételtől számított 30 napon belül minden esetben tájékoztatja azon Ügyfeleit, akikkel kapcsolatosan adatot szolgáltatott a NAV felé. </w:t>
      </w:r>
    </w:p>
    <w:p w:rsidR="00A8646F" w:rsidRDefault="00C66BF2">
      <w:pPr>
        <w:spacing w:after="213" w:line="259" w:lineRule="auto"/>
        <w:ind w:left="0" w:right="2" w:firstLine="0"/>
        <w:jc w:val="right"/>
      </w:pPr>
      <w:r>
        <w:rPr>
          <w:b/>
        </w:rPr>
        <w:t xml:space="preserve">Duna Takarék Bank Zrt. </w:t>
      </w:r>
    </w:p>
    <w:p w:rsidR="00A8646F" w:rsidRDefault="00C66BF2">
      <w:pPr>
        <w:spacing w:after="244" w:line="259" w:lineRule="auto"/>
        <w:ind w:left="0" w:firstLine="0"/>
        <w:jc w:val="left"/>
      </w:pPr>
      <w:r>
        <w:t xml:space="preserve"> </w:t>
      </w:r>
    </w:p>
    <w:p w:rsidR="00A8646F" w:rsidRDefault="00C66BF2">
      <w:pPr>
        <w:spacing w:after="214"/>
        <w:ind w:left="-5"/>
      </w:pPr>
      <w:r>
        <w:t xml:space="preserve">Győr, 2021. április 30. </w:t>
      </w:r>
      <w:r>
        <w:rPr>
          <w:b/>
        </w:rPr>
        <w:t xml:space="preserve"> </w:t>
      </w:r>
    </w:p>
    <w:p w:rsidR="00A8646F" w:rsidRDefault="00C66BF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A8646F">
      <w:headerReference w:type="default" r:id="rId7"/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1053" w:right="1414" w:bottom="1271" w:left="1416" w:header="708" w:footer="4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B6" w:rsidRDefault="00C66BF2">
      <w:pPr>
        <w:spacing w:after="0" w:line="240" w:lineRule="auto"/>
      </w:pPr>
      <w:r>
        <w:separator/>
      </w:r>
    </w:p>
  </w:endnote>
  <w:endnote w:type="continuationSeparator" w:id="0">
    <w:p w:rsidR="00424DB6" w:rsidRDefault="00C6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6F" w:rsidRDefault="00C66BF2">
    <w:pPr>
      <w:spacing w:after="218" w:line="259" w:lineRule="auto"/>
      <w:ind w:left="0" w:right="2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8646F" w:rsidRDefault="00C66BF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6F" w:rsidRDefault="00C66BF2">
    <w:pPr>
      <w:spacing w:after="218" w:line="259" w:lineRule="auto"/>
      <w:ind w:left="0" w:right="2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A123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8646F" w:rsidRDefault="00C66BF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6F" w:rsidRDefault="00C66BF2">
    <w:pPr>
      <w:spacing w:after="218" w:line="259" w:lineRule="auto"/>
      <w:ind w:left="0" w:right="2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8646F" w:rsidRDefault="00C66BF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6F" w:rsidRDefault="00C66BF2">
      <w:pPr>
        <w:spacing w:after="0" w:line="338" w:lineRule="auto"/>
        <w:ind w:left="0" w:firstLine="0"/>
        <w:jc w:val="left"/>
      </w:pPr>
      <w:r>
        <w:separator/>
      </w:r>
    </w:p>
  </w:footnote>
  <w:footnote w:type="continuationSeparator" w:id="0">
    <w:p w:rsidR="00A8646F" w:rsidRDefault="00C66BF2">
      <w:pPr>
        <w:spacing w:after="0" w:line="338" w:lineRule="auto"/>
        <w:ind w:left="0" w:firstLine="0"/>
        <w:jc w:val="left"/>
      </w:pPr>
      <w:r>
        <w:continuationSeparator/>
      </w:r>
    </w:p>
  </w:footnote>
  <w:footnote w:id="1">
    <w:p w:rsidR="00A8646F" w:rsidRDefault="00C66BF2">
      <w:pPr>
        <w:pStyle w:val="footnotedescription"/>
      </w:pPr>
      <w:r>
        <w:rPr>
          <w:rStyle w:val="footnotemark"/>
        </w:rPr>
        <w:footnoteRef/>
      </w:r>
      <w:r>
        <w:t xml:space="preserve"> a pénzügyi számlákkal kapcsolatos információk automatikus cseréjéről szóló, illetékes hatóságok közötti többoldalú Megállapodás kihirdetéséről szóló 2015. évi CXC. törvény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BA" w:rsidRDefault="001F07BA" w:rsidP="001F07BA">
    <w:pPr>
      <w:pStyle w:val="lfej"/>
      <w:pBdr>
        <w:bottom w:val="single" w:sz="4" w:space="1" w:color="auto"/>
      </w:pBdr>
    </w:pPr>
    <w:r>
      <w:tab/>
    </w:r>
    <w:r>
      <w:tab/>
    </w:r>
    <w:r>
      <w:tab/>
      <w:t>érvényes: 2021.május 11-től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E240B"/>
    <w:multiLevelType w:val="hybridMultilevel"/>
    <w:tmpl w:val="037CF39E"/>
    <w:lvl w:ilvl="0" w:tplc="B13E07A4">
      <w:start w:val="4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AFF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CF4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225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A51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810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0D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602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C9A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17039D"/>
    <w:multiLevelType w:val="hybridMultilevel"/>
    <w:tmpl w:val="BE4E2F5C"/>
    <w:lvl w:ilvl="0" w:tplc="4E987A7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63F7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0A02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2D13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EC13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27EB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85E4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A31C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A49F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5A0A8D"/>
    <w:multiLevelType w:val="hybridMultilevel"/>
    <w:tmpl w:val="D4C62910"/>
    <w:lvl w:ilvl="0" w:tplc="976C9BC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87FF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69B2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4E70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01DD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60A5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A6E6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20EC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E0AA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6F"/>
    <w:rsid w:val="000A1234"/>
    <w:rsid w:val="001F07BA"/>
    <w:rsid w:val="00424DB6"/>
    <w:rsid w:val="00A8646F"/>
    <w:rsid w:val="00C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9FB3-50DD-41CE-820A-EE49D218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 w:line="338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F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7B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Verle Katalin</dc:creator>
  <cp:keywords/>
  <cp:lastModifiedBy>Kreskai László</cp:lastModifiedBy>
  <cp:revision>2</cp:revision>
  <dcterms:created xsi:type="dcterms:W3CDTF">2022-08-03T12:48:00Z</dcterms:created>
  <dcterms:modified xsi:type="dcterms:W3CDTF">2022-08-03T12:48:00Z</dcterms:modified>
</cp:coreProperties>
</file>